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bCs/>
          <w:sz w:val="32"/>
          <w:szCs w:val="32"/>
          <w:lang w:val="en"/>
        </w:rPr>
      </w:pPr>
      <w:r>
        <w:rPr>
          <w:rFonts w:hint="eastAsia" w:ascii="Times New Roman" w:hAnsi="Times New Roman"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进口冷链全流程消毒技术开发及应用示范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36"/>
          <w:szCs w:val="36"/>
        </w:rPr>
      </w:pPr>
      <w:r>
        <w:rPr>
          <w:rFonts w:hint="eastAsia" w:ascii="Times New Roman" w:hAnsi="Times New Roman" w:eastAsia="方正小标宋简体" w:cs="Times New Roman"/>
          <w:bCs/>
          <w:sz w:val="44"/>
          <w:szCs w:val="44"/>
        </w:rPr>
        <w:t>重大</w:t>
      </w:r>
      <w:r>
        <w:rPr>
          <w:rFonts w:hint="eastAsia" w:ascii="Times New Roman" w:hAnsi="Times New Roman" w:eastAsia="方正小标宋简体" w:cs="Times New Roman"/>
          <w:bCs/>
          <w:sz w:val="44"/>
          <w:szCs w:val="44"/>
          <w:lang w:eastAsia="zh-CN"/>
        </w:rPr>
        <w:t>项目</w:t>
      </w:r>
      <w:r>
        <w:rPr>
          <w:rFonts w:hint="eastAsia" w:ascii="Times New Roman" w:hAnsi="Times New Roman" w:eastAsia="方正小标宋简体" w:cs="Times New Roman"/>
          <w:bCs/>
          <w:sz w:val="44"/>
          <w:szCs w:val="44"/>
        </w:rPr>
        <w:t>“揭榜挂帅”榜单</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r>
        <w:rPr>
          <w:rFonts w:hint="eastAsia" w:ascii="Nimbus Roman No9 L" w:hAnsi="Nimbus Roman No9 L" w:eastAsia="黑体"/>
          <w:bCs/>
          <w:szCs w:val="32"/>
        </w:rPr>
        <w:t>一、需求目标</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szCs w:val="32"/>
        </w:rPr>
      </w:pPr>
      <w:r>
        <w:rPr>
          <w:rFonts w:hint="eastAsia" w:ascii="Times New Roman" w:hAnsi="Times New Roman"/>
          <w:szCs w:val="32"/>
        </w:rPr>
        <w:t>用户单位目前进口冷链货品使用常温消毒剂，消毒成本545元/标箱；冬季供暖季使用低温消毒剂，消毒成本</w:t>
      </w:r>
      <w:r>
        <w:rPr>
          <w:rFonts w:ascii="Times New Roman" w:hAnsi="Times New Roman"/>
          <w:szCs w:val="32"/>
        </w:rPr>
        <w:t>1045</w:t>
      </w:r>
      <w:r>
        <w:rPr>
          <w:rFonts w:hint="eastAsia" w:ascii="Times New Roman" w:hAnsi="Times New Roman"/>
          <w:szCs w:val="32"/>
        </w:rPr>
        <w:t>元/标箱，</w:t>
      </w:r>
      <w:bookmarkStart w:id="0" w:name="_Hlk99741423"/>
      <w:r>
        <w:rPr>
          <w:rFonts w:hint="eastAsia" w:ascii="Times New Roman" w:hAnsi="Times New Roman"/>
          <w:szCs w:val="32"/>
        </w:rPr>
        <w:t>单件货物的平均消毒时间超过30分钟</w:t>
      </w:r>
      <w:bookmarkEnd w:id="0"/>
      <w:r>
        <w:rPr>
          <w:rFonts w:hint="eastAsia" w:ascii="Times New Roman" w:hAnsi="Times New Roman"/>
          <w:szCs w:val="32"/>
        </w:rPr>
        <w:t>（喷淋消毒机消毒5秒+静置30分钟+缠膜后二次消毒），导致单个货箱的平均周转时间较非疫情时延长4</w:t>
      </w:r>
      <w:r>
        <w:rPr>
          <w:rFonts w:ascii="Times New Roman" w:hAnsi="Times New Roman"/>
          <w:szCs w:val="32"/>
        </w:rPr>
        <w:t>0</w:t>
      </w:r>
      <w:r>
        <w:rPr>
          <w:rFonts w:hint="eastAsia" w:ascii="Times New Roman" w:hAnsi="Times New Roman"/>
          <w:szCs w:val="32"/>
        </w:rPr>
        <w:t>%。为了进一步节约消毒成本、提高货物周转效率，规范空气与货物消毒流程，切断进口冷链的疫情风险，研究采用替代消毒技术，实现对冷藏集装箱、冷库穿堂、典型一级冷库货物存储空间及进口冷链货物包装表面等流程作业环节消毒，其功能特性应兼备：</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szCs w:val="32"/>
        </w:rPr>
      </w:pPr>
      <w:r>
        <w:rPr>
          <w:rFonts w:hint="eastAsia" w:ascii="Times New Roman" w:hAnsi="Times New Roman"/>
          <w:szCs w:val="32"/>
        </w:rPr>
        <w:t>可移动性能满足所有月台卸货口的灵活作业；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附加小型化，满足海关检验人员的拆包装查验；</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装卸货前打开箱门前的箱门消毒。替代部分/全部的化学消毒，完成中试试验研究，并开展生产性试验验证。在保证目前消毒效果且实现全程疫情风险阻断的前提下，显著降低化学消毒剂的使用量、缩短消毒时间，为国际冷链物流行业安全、绿色、低碳发展提供技术支撑。</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r>
        <w:rPr>
          <w:rFonts w:hint="eastAsia" w:ascii="Nimbus Roman No9 L" w:hAnsi="Nimbus Roman No9 L" w:eastAsia="黑体"/>
          <w:bCs/>
          <w:szCs w:val="32"/>
        </w:rPr>
        <w:t>二、考核指标</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（一）优化一级冷库进出库货品消毒作业流程，开展低温环境通风设计和局部定点消毒方式研发。对比当前消毒作业流程，实现-18℃低温环境下消毒成本降低40-50%，消毒效率提高30%以上。</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（二）研发1套冷库内货品外包装消毒装备，化学消毒剂替代比例不小于</w:t>
      </w:r>
      <w:r>
        <w:rPr>
          <w:rFonts w:ascii="Times New Roman" w:hAnsi="Times New Roman"/>
          <w:szCs w:val="32"/>
        </w:rPr>
        <w:t>50</w:t>
      </w:r>
      <w:r>
        <w:rPr>
          <w:rFonts w:hint="eastAsia" w:ascii="Times New Roman" w:hAnsi="Times New Roman"/>
          <w:szCs w:val="32"/>
        </w:rPr>
        <w:t>%；在目前用户单位消毒工艺的基础上，消毒时间降低到30秒/件以内。物体表面指示微生物平均杀灭率≥99.9%，且符合国家食品安全和冷链消毒相关标准与规范。</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FF0000"/>
          <w:szCs w:val="32"/>
          <w:lang w:eastAsia="zh-CN"/>
        </w:rPr>
      </w:pPr>
      <w:r>
        <w:rPr>
          <w:rFonts w:hint="eastAsia" w:ascii="Times New Roman" w:hAnsi="Times New Roman"/>
          <w:szCs w:val="32"/>
        </w:rPr>
        <w:t>（三）</w:t>
      </w:r>
      <w:r>
        <w:rPr>
          <w:rFonts w:ascii="Times New Roman" w:hAnsi="Times New Roman"/>
          <w:szCs w:val="32"/>
        </w:rPr>
        <w:t>申请</w:t>
      </w:r>
      <w:r>
        <w:rPr>
          <w:rFonts w:hint="eastAsia" w:ascii="Times New Roman" w:hAnsi="Times New Roman"/>
          <w:szCs w:val="32"/>
        </w:rPr>
        <w:t>发明</w:t>
      </w:r>
      <w:r>
        <w:rPr>
          <w:rFonts w:ascii="Times New Roman" w:hAnsi="Times New Roman"/>
          <w:szCs w:val="32"/>
        </w:rPr>
        <w:t>专利不少于2项</w:t>
      </w:r>
      <w:r>
        <w:rPr>
          <w:rFonts w:hint="eastAsia" w:ascii="Times New Roman" w:hAnsi="Times New Roman"/>
          <w:szCs w:val="32"/>
        </w:rPr>
        <w:t>，实用新型专利不少于3项</w:t>
      </w:r>
      <w:r>
        <w:rPr>
          <w:rFonts w:ascii="Times New Roman" w:hAnsi="Times New Roman"/>
          <w:szCs w:val="32"/>
        </w:rPr>
        <w:t>。</w:t>
      </w:r>
      <w:r>
        <w:rPr>
          <w:rFonts w:hint="eastAsia" w:ascii="Times New Roman" w:hAnsi="Times New Roman"/>
          <w:color w:val="auto"/>
          <w:szCs w:val="32"/>
          <w:lang w:eastAsia="zh-CN"/>
        </w:rPr>
        <w:t>合作</w:t>
      </w:r>
      <w:r>
        <w:rPr>
          <w:rFonts w:hint="eastAsia" w:ascii="Nimbus Roman No9 L" w:hAnsi="Nimbus Roman No9 L" w:cs="Times New Roman"/>
          <w:color w:val="auto"/>
          <w:szCs w:val="32"/>
        </w:rPr>
        <w:t>形成的知识产权</w:t>
      </w:r>
      <w:r>
        <w:rPr>
          <w:rFonts w:hint="eastAsia" w:ascii="Nimbus Roman No9 L" w:hAnsi="Nimbus Roman No9 L" w:cs="Times New Roman"/>
          <w:color w:val="auto"/>
          <w:szCs w:val="32"/>
          <w:lang w:eastAsia="zh-CN"/>
        </w:rPr>
        <w:t>归双方共有，按照贡献程度排名。</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（四）</w:t>
      </w:r>
      <w:r>
        <w:rPr>
          <w:rFonts w:ascii="Times New Roman" w:hAnsi="Times New Roman"/>
          <w:szCs w:val="32"/>
        </w:rPr>
        <w:t>完成可靠性测试，并在用户单位完成应用示范。</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r>
        <w:rPr>
          <w:rFonts w:hint="eastAsia" w:ascii="Nimbus Roman No9 L" w:hAnsi="Nimbus Roman No9 L" w:eastAsia="黑体"/>
          <w:bCs/>
          <w:szCs w:val="32"/>
        </w:rPr>
        <w:t>三、实施周期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项目起止时间为2022年5月</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2023年4月。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（一）第一阶段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优化一级冷库进出库货品消毒作业流程，研发满足冷藏集装箱或运输车、冷库穿堂、冷库货物存储空间等流程作业环节要求的消毒方案。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（二）第二阶段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研发冷库内货品外包装消毒装备，并完成应用示范工作和示范推广技术规程。</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r>
        <w:rPr>
          <w:rFonts w:hint="eastAsia" w:ascii="Nimbus Roman No9 L" w:hAnsi="Nimbus Roman No9 L" w:eastAsia="黑体"/>
          <w:bCs/>
          <w:szCs w:val="32"/>
        </w:rPr>
        <w:t>四、最终成果形式</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（一）优化一级冷</w:t>
      </w:r>
      <w:bookmarkStart w:id="2" w:name="_GoBack"/>
      <w:bookmarkEnd w:id="2"/>
      <w:r>
        <w:rPr>
          <w:rFonts w:hint="eastAsia" w:ascii="Times New Roman" w:hAnsi="Times New Roman"/>
          <w:szCs w:val="32"/>
        </w:rPr>
        <w:t>库进出库货品消毒作业流程</w:t>
      </w:r>
      <w:r>
        <w:rPr>
          <w:rFonts w:ascii="Times New Roman" w:hAnsi="Times New Roman"/>
          <w:szCs w:val="32"/>
        </w:rPr>
        <w:t>1</w:t>
      </w:r>
      <w:r>
        <w:rPr>
          <w:rFonts w:hint="eastAsia" w:ascii="Times New Roman" w:hAnsi="Times New Roman"/>
          <w:szCs w:val="32"/>
        </w:rPr>
        <w:t>套；</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（二）研发冷库内货品外包装消毒装备</w:t>
      </w:r>
      <w:r>
        <w:rPr>
          <w:rFonts w:ascii="Times New Roman" w:hAnsi="Times New Roman"/>
          <w:color w:val="auto"/>
          <w:szCs w:val="32"/>
        </w:rPr>
        <w:t>1</w:t>
      </w:r>
      <w:r>
        <w:rPr>
          <w:rFonts w:hint="eastAsia" w:ascii="Times New Roman" w:hAnsi="Times New Roman"/>
          <w:color w:val="auto"/>
          <w:szCs w:val="32"/>
        </w:rPr>
        <w:t>台套</w:t>
      </w:r>
      <w:r>
        <w:rPr>
          <w:rFonts w:hint="eastAsia" w:ascii="Times New Roman" w:hAnsi="Times New Roman"/>
          <w:szCs w:val="32"/>
        </w:rPr>
        <w:t>，满足考核指标；</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（三）完成1套一级冷库进出库货品消毒作业流程的应用示范工作，形成可大范围示范推广技术规程1套。</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黑体"/>
          <w:bCs/>
          <w:szCs w:val="32"/>
        </w:rPr>
      </w:pPr>
      <w:r>
        <w:rPr>
          <w:rFonts w:hint="eastAsia" w:ascii="Nimbus Roman No9 L" w:hAnsi="Nimbus Roman No9 L" w:eastAsia="黑体"/>
          <w:bCs/>
          <w:szCs w:val="32"/>
        </w:rPr>
        <w:t>五、榜单金额及资助项目数</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Cs w:val="32"/>
        </w:rPr>
      </w:pPr>
      <w:r>
        <w:rPr>
          <w:rFonts w:hint="eastAsia" w:ascii="Times New Roman" w:hAnsi="Times New Roman"/>
          <w:szCs w:val="32"/>
        </w:rPr>
        <w:t>支持1项。</w:t>
      </w:r>
      <w:bookmarkStart w:id="1" w:name="_Hlk99612548"/>
      <w:r>
        <w:rPr>
          <w:rFonts w:hint="eastAsia" w:ascii="Times New Roman" w:hAnsi="Times New Roman"/>
          <w:szCs w:val="32"/>
        </w:rPr>
        <w:t>榜单总支持额度</w:t>
      </w:r>
      <w:r>
        <w:rPr>
          <w:rFonts w:hint="eastAsia" w:ascii="Times New Roman" w:hAnsi="Times New Roman"/>
          <w:szCs w:val="32"/>
          <w:lang w:val="en-US" w:eastAsia="zh-CN"/>
        </w:rPr>
        <w:t>350</w:t>
      </w:r>
      <w:r>
        <w:rPr>
          <w:rFonts w:hint="eastAsia" w:ascii="Times New Roman" w:hAnsi="Times New Roman"/>
          <w:szCs w:val="32"/>
        </w:rPr>
        <w:t>万元，其中市财政支持</w:t>
      </w:r>
      <w:r>
        <w:rPr>
          <w:rFonts w:ascii="Times New Roman" w:hAnsi="Times New Roman"/>
          <w:szCs w:val="32"/>
        </w:rPr>
        <w:t>50</w:t>
      </w:r>
      <w:r>
        <w:rPr>
          <w:rFonts w:hint="eastAsia" w:ascii="Times New Roman" w:hAnsi="Times New Roman"/>
          <w:szCs w:val="32"/>
        </w:rPr>
        <w:t>万元，用户单位投入支持</w:t>
      </w:r>
      <w:r>
        <w:rPr>
          <w:rFonts w:ascii="Times New Roman" w:hAnsi="Times New Roman"/>
          <w:szCs w:val="32"/>
        </w:rPr>
        <w:t>300</w:t>
      </w:r>
      <w:r>
        <w:rPr>
          <w:rFonts w:hint="eastAsia" w:ascii="Times New Roman" w:hAnsi="Times New Roman"/>
          <w:szCs w:val="32"/>
        </w:rPr>
        <w:t>万元。</w:t>
      </w:r>
    </w:p>
    <w:bookmarkEnd w:id="1"/>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Nimbus Roman No9 L" w:hAnsi="Nimbus Roman No9 L" w:eastAsia="仿宋_GB2312" w:cs="Times New Roman"/>
          <w:kern w:val="0"/>
          <w:sz w:val="32"/>
          <w:szCs w:val="32"/>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6D284"/>
    <w:multiLevelType w:val="singleLevel"/>
    <w:tmpl w:val="77F6D2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AB"/>
    <w:rsid w:val="00000F3D"/>
    <w:rsid w:val="000010CA"/>
    <w:rsid w:val="00011280"/>
    <w:rsid w:val="0002178F"/>
    <w:rsid w:val="000238B4"/>
    <w:rsid w:val="000259D0"/>
    <w:rsid w:val="0003218E"/>
    <w:rsid w:val="00032244"/>
    <w:rsid w:val="000522B5"/>
    <w:rsid w:val="0005630E"/>
    <w:rsid w:val="0005796B"/>
    <w:rsid w:val="000700DE"/>
    <w:rsid w:val="0007044E"/>
    <w:rsid w:val="000705F0"/>
    <w:rsid w:val="00072467"/>
    <w:rsid w:val="000772A0"/>
    <w:rsid w:val="00077D37"/>
    <w:rsid w:val="00081C82"/>
    <w:rsid w:val="00086C83"/>
    <w:rsid w:val="000A1607"/>
    <w:rsid w:val="000A6A4D"/>
    <w:rsid w:val="000B66E8"/>
    <w:rsid w:val="000C0B84"/>
    <w:rsid w:val="000C19A3"/>
    <w:rsid w:val="000C5018"/>
    <w:rsid w:val="000D061C"/>
    <w:rsid w:val="000D362A"/>
    <w:rsid w:val="000E6CEA"/>
    <w:rsid w:val="000F2089"/>
    <w:rsid w:val="000F2F99"/>
    <w:rsid w:val="000F4949"/>
    <w:rsid w:val="000F698E"/>
    <w:rsid w:val="00106F46"/>
    <w:rsid w:val="00116076"/>
    <w:rsid w:val="0012500C"/>
    <w:rsid w:val="001416CA"/>
    <w:rsid w:val="00153F75"/>
    <w:rsid w:val="001610E6"/>
    <w:rsid w:val="001914B7"/>
    <w:rsid w:val="001961B1"/>
    <w:rsid w:val="001A0FA2"/>
    <w:rsid w:val="001B2BF6"/>
    <w:rsid w:val="001B6F4B"/>
    <w:rsid w:val="001F39DD"/>
    <w:rsid w:val="001F6287"/>
    <w:rsid w:val="00203789"/>
    <w:rsid w:val="00205BE4"/>
    <w:rsid w:val="00213FDE"/>
    <w:rsid w:val="002230AC"/>
    <w:rsid w:val="00235806"/>
    <w:rsid w:val="0024334D"/>
    <w:rsid w:val="00245024"/>
    <w:rsid w:val="00245645"/>
    <w:rsid w:val="00254723"/>
    <w:rsid w:val="0025647E"/>
    <w:rsid w:val="00264B12"/>
    <w:rsid w:val="00272391"/>
    <w:rsid w:val="0028595C"/>
    <w:rsid w:val="0029147A"/>
    <w:rsid w:val="00291E4E"/>
    <w:rsid w:val="00292F9A"/>
    <w:rsid w:val="002A091B"/>
    <w:rsid w:val="002A29DF"/>
    <w:rsid w:val="002A30D9"/>
    <w:rsid w:val="002B3194"/>
    <w:rsid w:val="002B56A4"/>
    <w:rsid w:val="002B79B7"/>
    <w:rsid w:val="002C4463"/>
    <w:rsid w:val="002C531F"/>
    <w:rsid w:val="002C6210"/>
    <w:rsid w:val="002C663A"/>
    <w:rsid w:val="002D3CC3"/>
    <w:rsid w:val="002D4278"/>
    <w:rsid w:val="002D4D73"/>
    <w:rsid w:val="002E0A3E"/>
    <w:rsid w:val="002E5183"/>
    <w:rsid w:val="002F1713"/>
    <w:rsid w:val="002F57C6"/>
    <w:rsid w:val="00301114"/>
    <w:rsid w:val="00306E48"/>
    <w:rsid w:val="00310E1F"/>
    <w:rsid w:val="0031666B"/>
    <w:rsid w:val="00326031"/>
    <w:rsid w:val="003308DB"/>
    <w:rsid w:val="00334F5F"/>
    <w:rsid w:val="0035731C"/>
    <w:rsid w:val="0035765A"/>
    <w:rsid w:val="00377458"/>
    <w:rsid w:val="00391DCD"/>
    <w:rsid w:val="003953B2"/>
    <w:rsid w:val="003A2FA9"/>
    <w:rsid w:val="003A4574"/>
    <w:rsid w:val="003B12C2"/>
    <w:rsid w:val="003B2684"/>
    <w:rsid w:val="003C5DB6"/>
    <w:rsid w:val="003D1D6E"/>
    <w:rsid w:val="003D4D69"/>
    <w:rsid w:val="003D62E4"/>
    <w:rsid w:val="003F0F88"/>
    <w:rsid w:val="003F1A22"/>
    <w:rsid w:val="004049B8"/>
    <w:rsid w:val="00414D4A"/>
    <w:rsid w:val="00436158"/>
    <w:rsid w:val="00437D70"/>
    <w:rsid w:val="00442133"/>
    <w:rsid w:val="0044393A"/>
    <w:rsid w:val="0045170E"/>
    <w:rsid w:val="0045579A"/>
    <w:rsid w:val="00456E45"/>
    <w:rsid w:val="00461A77"/>
    <w:rsid w:val="00463126"/>
    <w:rsid w:val="00464D7D"/>
    <w:rsid w:val="00464F90"/>
    <w:rsid w:val="00466FE7"/>
    <w:rsid w:val="00480174"/>
    <w:rsid w:val="00484239"/>
    <w:rsid w:val="00490372"/>
    <w:rsid w:val="004916DE"/>
    <w:rsid w:val="00491B94"/>
    <w:rsid w:val="00493EEC"/>
    <w:rsid w:val="00495DCE"/>
    <w:rsid w:val="004A77B8"/>
    <w:rsid w:val="004B02E4"/>
    <w:rsid w:val="004B4B45"/>
    <w:rsid w:val="004D7063"/>
    <w:rsid w:val="004E07D8"/>
    <w:rsid w:val="004E4051"/>
    <w:rsid w:val="004E532C"/>
    <w:rsid w:val="004F6C7F"/>
    <w:rsid w:val="00510DD5"/>
    <w:rsid w:val="005118BF"/>
    <w:rsid w:val="005134A4"/>
    <w:rsid w:val="0051650B"/>
    <w:rsid w:val="00523FFE"/>
    <w:rsid w:val="0052541A"/>
    <w:rsid w:val="00530BB8"/>
    <w:rsid w:val="00564BF3"/>
    <w:rsid w:val="00573EE3"/>
    <w:rsid w:val="00592A6C"/>
    <w:rsid w:val="005B08B1"/>
    <w:rsid w:val="005B0D42"/>
    <w:rsid w:val="005B7ACD"/>
    <w:rsid w:val="005E7449"/>
    <w:rsid w:val="005F09BE"/>
    <w:rsid w:val="005F0DEE"/>
    <w:rsid w:val="005F1283"/>
    <w:rsid w:val="005F72CA"/>
    <w:rsid w:val="0061082D"/>
    <w:rsid w:val="006226B4"/>
    <w:rsid w:val="006403AE"/>
    <w:rsid w:val="006478B8"/>
    <w:rsid w:val="00647FDE"/>
    <w:rsid w:val="00663331"/>
    <w:rsid w:val="0068056D"/>
    <w:rsid w:val="00680983"/>
    <w:rsid w:val="0068193A"/>
    <w:rsid w:val="00686AAE"/>
    <w:rsid w:val="006A0F79"/>
    <w:rsid w:val="006A1D34"/>
    <w:rsid w:val="006C3B3C"/>
    <w:rsid w:val="006C5498"/>
    <w:rsid w:val="006C7A8E"/>
    <w:rsid w:val="006D5D54"/>
    <w:rsid w:val="006E688A"/>
    <w:rsid w:val="006F25B0"/>
    <w:rsid w:val="006F42A5"/>
    <w:rsid w:val="006F7CED"/>
    <w:rsid w:val="00702F84"/>
    <w:rsid w:val="00706BB0"/>
    <w:rsid w:val="007164F8"/>
    <w:rsid w:val="0072123C"/>
    <w:rsid w:val="007344CD"/>
    <w:rsid w:val="007365D7"/>
    <w:rsid w:val="0073700D"/>
    <w:rsid w:val="00740289"/>
    <w:rsid w:val="007418E2"/>
    <w:rsid w:val="00741FB4"/>
    <w:rsid w:val="00743B04"/>
    <w:rsid w:val="00744B68"/>
    <w:rsid w:val="00745815"/>
    <w:rsid w:val="00745E48"/>
    <w:rsid w:val="00747757"/>
    <w:rsid w:val="00755EB1"/>
    <w:rsid w:val="00756ED6"/>
    <w:rsid w:val="00757C44"/>
    <w:rsid w:val="007734E3"/>
    <w:rsid w:val="0077616E"/>
    <w:rsid w:val="007766E4"/>
    <w:rsid w:val="00776DDD"/>
    <w:rsid w:val="007814F9"/>
    <w:rsid w:val="00783BE4"/>
    <w:rsid w:val="007861F7"/>
    <w:rsid w:val="007A05A3"/>
    <w:rsid w:val="007A63BC"/>
    <w:rsid w:val="007A7D26"/>
    <w:rsid w:val="007B1185"/>
    <w:rsid w:val="007B2718"/>
    <w:rsid w:val="007B32BC"/>
    <w:rsid w:val="007B7968"/>
    <w:rsid w:val="007C7CA9"/>
    <w:rsid w:val="007D3BB3"/>
    <w:rsid w:val="007D4172"/>
    <w:rsid w:val="007E5655"/>
    <w:rsid w:val="007F01E1"/>
    <w:rsid w:val="00802986"/>
    <w:rsid w:val="008036CD"/>
    <w:rsid w:val="00804EBB"/>
    <w:rsid w:val="008103A4"/>
    <w:rsid w:val="008115B7"/>
    <w:rsid w:val="00815994"/>
    <w:rsid w:val="0083620D"/>
    <w:rsid w:val="00863B39"/>
    <w:rsid w:val="008664BA"/>
    <w:rsid w:val="00870CBD"/>
    <w:rsid w:val="00871374"/>
    <w:rsid w:val="00881B49"/>
    <w:rsid w:val="00892E53"/>
    <w:rsid w:val="008973CD"/>
    <w:rsid w:val="008A37C7"/>
    <w:rsid w:val="008B186A"/>
    <w:rsid w:val="008C03A6"/>
    <w:rsid w:val="008C22B6"/>
    <w:rsid w:val="008F2FCD"/>
    <w:rsid w:val="008F4053"/>
    <w:rsid w:val="008F73F9"/>
    <w:rsid w:val="00904B62"/>
    <w:rsid w:val="00906364"/>
    <w:rsid w:val="009076BD"/>
    <w:rsid w:val="00907898"/>
    <w:rsid w:val="00914A07"/>
    <w:rsid w:val="009213F4"/>
    <w:rsid w:val="009234EF"/>
    <w:rsid w:val="00932617"/>
    <w:rsid w:val="00951EAF"/>
    <w:rsid w:val="00961264"/>
    <w:rsid w:val="00964BF3"/>
    <w:rsid w:val="00970048"/>
    <w:rsid w:val="00974BF8"/>
    <w:rsid w:val="00976C13"/>
    <w:rsid w:val="00977A8C"/>
    <w:rsid w:val="0099251E"/>
    <w:rsid w:val="0099304A"/>
    <w:rsid w:val="009974F7"/>
    <w:rsid w:val="009A2FCD"/>
    <w:rsid w:val="009B048B"/>
    <w:rsid w:val="009B29F8"/>
    <w:rsid w:val="009C52A2"/>
    <w:rsid w:val="009C7008"/>
    <w:rsid w:val="009D55A9"/>
    <w:rsid w:val="009E0A82"/>
    <w:rsid w:val="009E0C5F"/>
    <w:rsid w:val="009E25B2"/>
    <w:rsid w:val="009E2CBA"/>
    <w:rsid w:val="009E3AA7"/>
    <w:rsid w:val="009F23CD"/>
    <w:rsid w:val="009F4C5A"/>
    <w:rsid w:val="009F7EF0"/>
    <w:rsid w:val="00A018F5"/>
    <w:rsid w:val="00A1021F"/>
    <w:rsid w:val="00A13428"/>
    <w:rsid w:val="00A203A9"/>
    <w:rsid w:val="00A3046F"/>
    <w:rsid w:val="00A308D4"/>
    <w:rsid w:val="00A40826"/>
    <w:rsid w:val="00A61C0F"/>
    <w:rsid w:val="00A6350F"/>
    <w:rsid w:val="00A65800"/>
    <w:rsid w:val="00A81899"/>
    <w:rsid w:val="00A8396D"/>
    <w:rsid w:val="00A844F3"/>
    <w:rsid w:val="00A84836"/>
    <w:rsid w:val="00A86E8F"/>
    <w:rsid w:val="00A97CD0"/>
    <w:rsid w:val="00AA4CCF"/>
    <w:rsid w:val="00AA761C"/>
    <w:rsid w:val="00AB4609"/>
    <w:rsid w:val="00AB7AA6"/>
    <w:rsid w:val="00AC534F"/>
    <w:rsid w:val="00AD3CA1"/>
    <w:rsid w:val="00AD79F0"/>
    <w:rsid w:val="00AE0B59"/>
    <w:rsid w:val="00AF53AE"/>
    <w:rsid w:val="00B148D6"/>
    <w:rsid w:val="00B20AAC"/>
    <w:rsid w:val="00B252C8"/>
    <w:rsid w:val="00B2669B"/>
    <w:rsid w:val="00B311DD"/>
    <w:rsid w:val="00B320BE"/>
    <w:rsid w:val="00B6518E"/>
    <w:rsid w:val="00B73586"/>
    <w:rsid w:val="00B92BF4"/>
    <w:rsid w:val="00BA1B46"/>
    <w:rsid w:val="00BB4DFB"/>
    <w:rsid w:val="00BC00F4"/>
    <w:rsid w:val="00BC0A71"/>
    <w:rsid w:val="00BC7ECD"/>
    <w:rsid w:val="00BD7FDC"/>
    <w:rsid w:val="00BE1787"/>
    <w:rsid w:val="00BE264D"/>
    <w:rsid w:val="00BE48B4"/>
    <w:rsid w:val="00C04306"/>
    <w:rsid w:val="00C106FC"/>
    <w:rsid w:val="00C108D5"/>
    <w:rsid w:val="00C10BA8"/>
    <w:rsid w:val="00C15DBF"/>
    <w:rsid w:val="00C2109D"/>
    <w:rsid w:val="00C346F8"/>
    <w:rsid w:val="00C34D54"/>
    <w:rsid w:val="00C350EE"/>
    <w:rsid w:val="00C43163"/>
    <w:rsid w:val="00C455C8"/>
    <w:rsid w:val="00C50AAE"/>
    <w:rsid w:val="00C50FF3"/>
    <w:rsid w:val="00C57E77"/>
    <w:rsid w:val="00C65883"/>
    <w:rsid w:val="00C73154"/>
    <w:rsid w:val="00C74D43"/>
    <w:rsid w:val="00C80DCE"/>
    <w:rsid w:val="00C8209F"/>
    <w:rsid w:val="00C8504D"/>
    <w:rsid w:val="00C9237F"/>
    <w:rsid w:val="00CA19AD"/>
    <w:rsid w:val="00CA73B1"/>
    <w:rsid w:val="00CA766D"/>
    <w:rsid w:val="00CB185B"/>
    <w:rsid w:val="00CC2FD8"/>
    <w:rsid w:val="00CC5444"/>
    <w:rsid w:val="00CD1F6A"/>
    <w:rsid w:val="00CD2FF7"/>
    <w:rsid w:val="00CD3C0C"/>
    <w:rsid w:val="00CE656D"/>
    <w:rsid w:val="00CF205B"/>
    <w:rsid w:val="00CF7BAB"/>
    <w:rsid w:val="00D0273C"/>
    <w:rsid w:val="00D138C5"/>
    <w:rsid w:val="00D16616"/>
    <w:rsid w:val="00D20B5A"/>
    <w:rsid w:val="00D343FD"/>
    <w:rsid w:val="00D40121"/>
    <w:rsid w:val="00D505EF"/>
    <w:rsid w:val="00D52C09"/>
    <w:rsid w:val="00D55D4F"/>
    <w:rsid w:val="00D724BF"/>
    <w:rsid w:val="00D72E09"/>
    <w:rsid w:val="00D85509"/>
    <w:rsid w:val="00D92317"/>
    <w:rsid w:val="00D9490A"/>
    <w:rsid w:val="00DA267F"/>
    <w:rsid w:val="00DA583F"/>
    <w:rsid w:val="00DA5D97"/>
    <w:rsid w:val="00DB54B3"/>
    <w:rsid w:val="00DB6709"/>
    <w:rsid w:val="00DC12D4"/>
    <w:rsid w:val="00DE29DF"/>
    <w:rsid w:val="00DF76D8"/>
    <w:rsid w:val="00E038C5"/>
    <w:rsid w:val="00E15039"/>
    <w:rsid w:val="00E15723"/>
    <w:rsid w:val="00E22459"/>
    <w:rsid w:val="00E228D1"/>
    <w:rsid w:val="00E33F46"/>
    <w:rsid w:val="00E4263B"/>
    <w:rsid w:val="00E44EC9"/>
    <w:rsid w:val="00E62E85"/>
    <w:rsid w:val="00E75B52"/>
    <w:rsid w:val="00E86809"/>
    <w:rsid w:val="00E87DCD"/>
    <w:rsid w:val="00E94AEA"/>
    <w:rsid w:val="00EA56C8"/>
    <w:rsid w:val="00EB49FD"/>
    <w:rsid w:val="00EB578E"/>
    <w:rsid w:val="00EC3D97"/>
    <w:rsid w:val="00EC4278"/>
    <w:rsid w:val="00EE210F"/>
    <w:rsid w:val="00EE4E1C"/>
    <w:rsid w:val="00EE5FD0"/>
    <w:rsid w:val="00EE6EA7"/>
    <w:rsid w:val="00EE7D21"/>
    <w:rsid w:val="00EF0688"/>
    <w:rsid w:val="00F0104B"/>
    <w:rsid w:val="00F06BE0"/>
    <w:rsid w:val="00F06C65"/>
    <w:rsid w:val="00F13604"/>
    <w:rsid w:val="00F15722"/>
    <w:rsid w:val="00F20C99"/>
    <w:rsid w:val="00F20FD9"/>
    <w:rsid w:val="00F22917"/>
    <w:rsid w:val="00F24979"/>
    <w:rsid w:val="00F52AAF"/>
    <w:rsid w:val="00F53779"/>
    <w:rsid w:val="00F5611A"/>
    <w:rsid w:val="00F70AD2"/>
    <w:rsid w:val="00F72F4B"/>
    <w:rsid w:val="00F73E54"/>
    <w:rsid w:val="00F748A9"/>
    <w:rsid w:val="00F772E9"/>
    <w:rsid w:val="00F90B3D"/>
    <w:rsid w:val="00F93C64"/>
    <w:rsid w:val="00FA3F09"/>
    <w:rsid w:val="00FC4BB1"/>
    <w:rsid w:val="00FC677D"/>
    <w:rsid w:val="00FC721B"/>
    <w:rsid w:val="00FD275A"/>
    <w:rsid w:val="00FE293F"/>
    <w:rsid w:val="00FE3A0C"/>
    <w:rsid w:val="00FE6510"/>
    <w:rsid w:val="00FF1DEF"/>
    <w:rsid w:val="AB7F7289"/>
    <w:rsid w:val="BED2D09A"/>
    <w:rsid w:val="F4BBE6B8"/>
    <w:rsid w:val="F5CB0D29"/>
    <w:rsid w:val="FDD32740"/>
    <w:rsid w:val="FF6710A2"/>
    <w:rsid w:val="FFB7B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ody Text Indent"/>
    <w:basedOn w:val="1"/>
    <w:link w:val="11"/>
    <w:semiHidden/>
    <w:unhideWhenUsed/>
    <w:qFormat/>
    <w:uiPriority w:val="0"/>
    <w:pPr>
      <w:ind w:firstLine="560"/>
    </w:pPr>
    <w:rPr>
      <w:rFonts w:ascii="Times New Roman" w:hAnsi="Times New Roman" w:eastAsia="仿宋_GB2312" w:cs="Times New Roman"/>
      <w:sz w:val="28"/>
      <w:szCs w:val="20"/>
    </w:rPr>
  </w:style>
  <w:style w:type="paragraph" w:styleId="4">
    <w:name w:val="Balloon Text"/>
    <w:basedOn w:val="1"/>
    <w:link w:val="22"/>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正文文本缩进 字符"/>
    <w:basedOn w:val="9"/>
    <w:link w:val="3"/>
    <w:semiHidden/>
    <w:qFormat/>
    <w:uiPriority w:val="0"/>
    <w:rPr>
      <w:rFonts w:ascii="Times New Roman" w:hAnsi="Times New Roman" w:eastAsia="仿宋_GB2312" w:cs="Times New Roman"/>
      <w:kern w:val="2"/>
      <w:sz w:val="28"/>
      <w:szCs w:val="20"/>
    </w:rPr>
  </w:style>
  <w:style w:type="character" w:customStyle="1" w:styleId="12">
    <w:name w:val="样式1 Char"/>
    <w:link w:val="13"/>
    <w:qFormat/>
    <w:locked/>
    <w:uiPriority w:val="99"/>
    <w:rPr>
      <w:rFonts w:ascii="仿宋_GB2312" w:hAnsi="仿宋_GB2312" w:eastAsia="仿宋_GB2312" w:cs="Times New Roman"/>
      <w:sz w:val="32"/>
    </w:rPr>
  </w:style>
  <w:style w:type="paragraph" w:customStyle="1" w:styleId="13">
    <w:name w:val="样式1"/>
    <w:basedOn w:val="1"/>
    <w:link w:val="12"/>
    <w:qFormat/>
    <w:uiPriority w:val="99"/>
    <w:pPr>
      <w:ind w:firstLine="629"/>
    </w:pPr>
    <w:rPr>
      <w:rFonts w:ascii="仿宋_GB2312" w:hAnsi="仿宋_GB2312" w:eastAsia="仿宋_GB2312" w:cs="Times New Roman"/>
      <w:kern w:val="0"/>
      <w:sz w:val="32"/>
    </w:rPr>
  </w:style>
  <w:style w:type="paragraph" w:customStyle="1" w:styleId="14">
    <w:name w:val="UserStyle_4"/>
    <w:basedOn w:val="1"/>
    <w:qFormat/>
    <w:uiPriority w:val="0"/>
    <w:pPr>
      <w:ind w:firstLine="629"/>
    </w:pPr>
    <w:rPr>
      <w:rFonts w:ascii="仿宋_GB2312" w:eastAsia="仿宋_GB2312"/>
      <w:kern w:val="0"/>
      <w:sz w:val="32"/>
      <w:szCs w:val="20"/>
    </w:rPr>
  </w:style>
  <w:style w:type="character" w:customStyle="1" w:styleId="15">
    <w:name w:val="NormalCharacter"/>
    <w:qFormat/>
    <w:uiPriority w:val="0"/>
  </w:style>
  <w:style w:type="character" w:customStyle="1" w:styleId="16">
    <w:name w:val="批注文字 字符"/>
    <w:basedOn w:val="9"/>
    <w:link w:val="2"/>
    <w:qFormat/>
    <w:uiPriority w:val="99"/>
    <w:rPr>
      <w:rFonts w:ascii="Calibri" w:hAnsi="Calibri" w:eastAsia="宋体" w:cs="宋体"/>
      <w:kern w:val="2"/>
      <w:sz w:val="21"/>
    </w:rPr>
  </w:style>
  <w:style w:type="character" w:customStyle="1" w:styleId="17">
    <w:name w:val="批注主题 字符"/>
    <w:basedOn w:val="16"/>
    <w:link w:val="7"/>
    <w:semiHidden/>
    <w:qFormat/>
    <w:uiPriority w:val="99"/>
    <w:rPr>
      <w:rFonts w:ascii="Calibri" w:hAnsi="Calibri" w:eastAsia="宋体" w:cs="宋体"/>
      <w:b/>
      <w:bCs/>
      <w:kern w:val="2"/>
      <w:sz w:val="21"/>
    </w:rPr>
  </w:style>
  <w:style w:type="character" w:customStyle="1" w:styleId="18">
    <w:name w:val="页眉 字符"/>
    <w:basedOn w:val="9"/>
    <w:link w:val="6"/>
    <w:qFormat/>
    <w:uiPriority w:val="99"/>
    <w:rPr>
      <w:rFonts w:ascii="Calibri" w:hAnsi="Calibri" w:eastAsia="宋体" w:cs="宋体"/>
      <w:kern w:val="2"/>
      <w:sz w:val="18"/>
      <w:szCs w:val="18"/>
    </w:rPr>
  </w:style>
  <w:style w:type="character" w:customStyle="1" w:styleId="19">
    <w:name w:val="页脚 字符"/>
    <w:basedOn w:val="9"/>
    <w:link w:val="5"/>
    <w:qFormat/>
    <w:uiPriority w:val="99"/>
    <w:rPr>
      <w:rFonts w:ascii="Calibri" w:hAnsi="Calibri" w:eastAsia="宋体" w:cs="宋体"/>
      <w:kern w:val="2"/>
      <w:sz w:val="18"/>
      <w:szCs w:val="18"/>
    </w:rPr>
  </w:style>
  <w:style w:type="paragraph" w:styleId="20">
    <w:name w:val="List Paragraph"/>
    <w:basedOn w:val="1"/>
    <w:qFormat/>
    <w:uiPriority w:val="34"/>
    <w:pPr>
      <w:ind w:firstLine="420" w:firstLineChars="200"/>
    </w:pPr>
  </w:style>
  <w:style w:type="paragraph" w:customStyle="1" w:styleId="21">
    <w:name w:val="修订1"/>
    <w:hidden/>
    <w:semiHidden/>
    <w:qFormat/>
    <w:uiPriority w:val="99"/>
    <w:rPr>
      <w:rFonts w:ascii="Calibri" w:hAnsi="Calibri" w:eastAsia="宋体" w:cs="宋体"/>
      <w:kern w:val="2"/>
      <w:sz w:val="21"/>
      <w:szCs w:val="22"/>
      <w:lang w:val="en-US" w:eastAsia="zh-CN" w:bidi="ar-SA"/>
    </w:rPr>
  </w:style>
  <w:style w:type="character" w:customStyle="1" w:styleId="22">
    <w:name w:val="批注框文本 字符"/>
    <w:basedOn w:val="9"/>
    <w:link w:val="4"/>
    <w:semiHidden/>
    <w:qFormat/>
    <w:uiPriority w:val="99"/>
    <w:rPr>
      <w:rFonts w:ascii="Calibri" w:hAnsi="Calibri" w:eastAsia="宋体" w:cs="宋体"/>
      <w:kern w:val="2"/>
      <w:sz w:val="18"/>
      <w:szCs w:val="18"/>
    </w:rPr>
  </w:style>
  <w:style w:type="paragraph" w:customStyle="1" w:styleId="23">
    <w:name w:val="Revision"/>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Words>
  <Characters>992</Characters>
  <Lines>8</Lines>
  <Paragraphs>2</Paragraphs>
  <TotalTime>11</TotalTime>
  <ScaleCrop>false</ScaleCrop>
  <LinksUpToDate>false</LinksUpToDate>
  <CharactersWithSpaces>1164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2022-04-23T02:02:00Z</dcterms:created>
  <dc:creator>王 志强</dc:creator>
  <cp:lastModifiedBy>kylin</cp:lastModifiedBy>
  <cp:lastPrinted>2022-05-08T06:17:00Z</cp:lastPrinted>
  <dcterms:modified xsi:type="dcterms:W3CDTF">2022-05-09T10:52:23Z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