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color w:val="000000"/>
          <w:kern w:val="0"/>
          <w:sz w:val="32"/>
          <w:szCs w:val="32"/>
          <w:lang w:val="en-US" w:eastAsia="zh-CN"/>
        </w:rPr>
      </w:pPr>
      <w:bookmarkStart w:id="0" w:name="_GoBack"/>
      <w:bookmarkEnd w:id="0"/>
      <w:r>
        <w:rPr>
          <w:rFonts w:hint="eastAsia" w:ascii="仿宋_GB2312" w:hAnsi="仿宋_GB2312" w:eastAsia="仿宋_GB2312" w:cs="仿宋_GB2312"/>
          <w:bCs/>
          <w:color w:val="000000"/>
          <w:kern w:val="0"/>
          <w:sz w:val="32"/>
          <w:szCs w:val="32"/>
          <w:lang w:val="en-US" w:eastAsia="zh-CN"/>
        </w:rPr>
        <w:t>附件：</w:t>
      </w:r>
    </w:p>
    <w:p>
      <w:pPr>
        <w:widowControl/>
        <w:jc w:val="center"/>
        <w:rPr>
          <w:rFonts w:hint="eastAsia" w:ascii="方正小标宋简体" w:hAnsi="宋体" w:eastAsia="方正小标宋简体" w:cs="宋体"/>
          <w:bCs/>
          <w:color w:val="000000"/>
          <w:kern w:val="0"/>
          <w:sz w:val="40"/>
          <w:szCs w:val="40"/>
        </w:rPr>
      </w:pPr>
      <w:r>
        <w:rPr>
          <w:rFonts w:hint="eastAsia" w:ascii="方正小标宋简体" w:hAnsi="宋体" w:eastAsia="方正小标宋简体" w:cs="宋体"/>
          <w:bCs/>
          <w:color w:val="000000"/>
          <w:kern w:val="0"/>
          <w:sz w:val="40"/>
          <w:szCs w:val="40"/>
        </w:rPr>
        <w:t>市科技局</w:t>
      </w:r>
      <w:r>
        <w:rPr>
          <w:rFonts w:hint="eastAsia" w:ascii="方正小标宋简体" w:hAnsi="宋体" w:eastAsia="方正小标宋简体" w:cs="宋体"/>
          <w:bCs/>
          <w:color w:val="000000"/>
          <w:kern w:val="0"/>
          <w:sz w:val="40"/>
          <w:szCs w:val="40"/>
          <w:lang w:val="en-US" w:eastAsia="zh-CN"/>
        </w:rPr>
        <w:t>2024年度“谁执法谁普法”工作计划与普法</w:t>
      </w:r>
      <w:r>
        <w:rPr>
          <w:rFonts w:hint="eastAsia" w:ascii="方正小标宋简体" w:hAnsi="宋体" w:eastAsia="方正小标宋简体" w:cs="宋体"/>
          <w:bCs/>
          <w:color w:val="000000"/>
          <w:kern w:val="0"/>
          <w:sz w:val="40"/>
          <w:szCs w:val="40"/>
        </w:rPr>
        <w:t>责任清单</w:t>
      </w:r>
    </w:p>
    <w:p>
      <w:pPr>
        <w:widowControl/>
        <w:jc w:val="center"/>
        <w:rPr>
          <w:rFonts w:hint="eastAsia" w:ascii="方正小标宋简体" w:hAnsi="宋体" w:eastAsia="方正小标宋简体" w:cs="宋体"/>
          <w:b w:val="0"/>
          <w:bCs/>
          <w:color w:val="000000"/>
          <w:kern w:val="0"/>
          <w:sz w:val="28"/>
          <w:szCs w:val="28"/>
        </w:rPr>
      </w:pPr>
    </w:p>
    <w:tbl>
      <w:tblPr>
        <w:tblStyle w:val="5"/>
        <w:tblW w:w="14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730"/>
        <w:gridCol w:w="4275"/>
        <w:gridCol w:w="3135"/>
        <w:gridCol w:w="147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80" w:type="dxa"/>
            <w:noWrap w:val="0"/>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2730" w:type="dxa"/>
            <w:noWrap w:val="0"/>
            <w:vAlign w:val="center"/>
          </w:tcPr>
          <w:p>
            <w:pPr>
              <w:widowControl/>
              <w:jc w:val="center"/>
              <w:rPr>
                <w:rFonts w:hint="eastAsia" w:ascii="宋体" w:hAnsi="宋体" w:eastAsia="宋体" w:cs="宋体"/>
                <w:b/>
                <w:bCs/>
                <w:color w:val="000000"/>
                <w:kern w:val="0"/>
                <w:sz w:val="28"/>
                <w:szCs w:val="28"/>
                <w:lang w:eastAsia="zh-CN"/>
              </w:rPr>
            </w:pPr>
            <w:r>
              <w:rPr>
                <w:rFonts w:hint="eastAsia" w:ascii="宋体" w:hAnsi="宋体" w:cs="宋体"/>
                <w:b/>
                <w:bCs/>
                <w:color w:val="000000"/>
                <w:kern w:val="0"/>
                <w:sz w:val="28"/>
                <w:szCs w:val="28"/>
                <w:lang w:eastAsia="zh-CN"/>
              </w:rPr>
              <w:t>普法重点任务</w:t>
            </w:r>
          </w:p>
        </w:tc>
        <w:tc>
          <w:tcPr>
            <w:tcW w:w="4275" w:type="dxa"/>
            <w:noWrap w:val="0"/>
            <w:vAlign w:val="center"/>
          </w:tcPr>
          <w:p>
            <w:pPr>
              <w:widowControl/>
              <w:jc w:val="center"/>
              <w:rPr>
                <w:rFonts w:hint="eastAsia" w:ascii="宋体" w:hAnsi="宋体" w:eastAsia="宋体" w:cs="宋体"/>
                <w:b/>
                <w:bCs/>
                <w:color w:val="000000"/>
                <w:kern w:val="0"/>
                <w:sz w:val="28"/>
                <w:szCs w:val="28"/>
                <w:lang w:eastAsia="zh-CN"/>
              </w:rPr>
            </w:pPr>
            <w:r>
              <w:rPr>
                <w:rFonts w:hint="eastAsia" w:ascii="宋体" w:hAnsi="宋体" w:cs="宋体"/>
                <w:b/>
                <w:bCs/>
                <w:color w:val="000000"/>
                <w:kern w:val="0"/>
                <w:sz w:val="28"/>
                <w:szCs w:val="28"/>
                <w:lang w:eastAsia="zh-CN"/>
              </w:rPr>
              <w:t>重点宣传的</w:t>
            </w:r>
            <w:r>
              <w:rPr>
                <w:rFonts w:hint="eastAsia" w:ascii="宋体" w:hAnsi="宋体" w:cs="宋体"/>
                <w:b/>
                <w:bCs/>
                <w:color w:val="000000"/>
                <w:kern w:val="0"/>
                <w:sz w:val="28"/>
                <w:szCs w:val="28"/>
              </w:rPr>
              <w:t>法律法规</w:t>
            </w:r>
            <w:r>
              <w:rPr>
                <w:rFonts w:hint="eastAsia" w:ascii="宋体" w:hAnsi="宋体" w:cs="宋体"/>
                <w:b/>
                <w:bCs/>
                <w:color w:val="000000"/>
                <w:kern w:val="0"/>
                <w:sz w:val="28"/>
                <w:szCs w:val="28"/>
                <w:lang w:eastAsia="zh-CN"/>
              </w:rPr>
              <w:t>等内容</w:t>
            </w:r>
          </w:p>
        </w:tc>
        <w:tc>
          <w:tcPr>
            <w:tcW w:w="3135" w:type="dxa"/>
            <w:noWrap w:val="0"/>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lang w:eastAsia="zh-CN"/>
              </w:rPr>
              <w:t>重点</w:t>
            </w:r>
            <w:r>
              <w:rPr>
                <w:rFonts w:hint="eastAsia" w:ascii="宋体" w:hAnsi="宋体" w:cs="宋体"/>
                <w:b/>
                <w:bCs/>
                <w:color w:val="000000"/>
                <w:kern w:val="0"/>
                <w:sz w:val="28"/>
                <w:szCs w:val="28"/>
              </w:rPr>
              <w:t>普法对象</w:t>
            </w:r>
          </w:p>
        </w:tc>
        <w:tc>
          <w:tcPr>
            <w:tcW w:w="1470" w:type="dxa"/>
            <w:noWrap w:val="0"/>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责任处室</w:t>
            </w:r>
          </w:p>
        </w:tc>
        <w:tc>
          <w:tcPr>
            <w:tcW w:w="2295" w:type="dxa"/>
            <w:noWrap w:val="0"/>
            <w:vAlign w:val="center"/>
          </w:tcPr>
          <w:p>
            <w:pPr>
              <w:widowControl/>
              <w:jc w:val="center"/>
              <w:rPr>
                <w:rFonts w:hint="eastAsia" w:ascii="宋体" w:hAnsi="宋体" w:eastAsia="宋体" w:cs="宋体"/>
                <w:b/>
                <w:bCs/>
                <w:color w:val="000000"/>
                <w:kern w:val="0"/>
                <w:sz w:val="28"/>
                <w:szCs w:val="28"/>
                <w:lang w:eastAsia="zh-CN"/>
              </w:rPr>
            </w:pPr>
            <w:r>
              <w:rPr>
                <w:rFonts w:hint="eastAsia" w:ascii="宋体" w:hAnsi="宋体" w:cs="宋体"/>
                <w:b/>
                <w:bCs/>
                <w:color w:val="000000"/>
                <w:kern w:val="0"/>
                <w:sz w:val="28"/>
                <w:szCs w:val="28"/>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7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深入学习宣传习近平新时代中国特色社会主义思想、</w:t>
            </w:r>
            <w:r>
              <w:rPr>
                <w:rFonts w:hint="eastAsia" w:ascii="仿宋_GB2312" w:hAnsi="仿宋_GB2312" w:eastAsia="仿宋_GB2312" w:cs="仿宋_GB2312"/>
                <w:color w:val="000000"/>
                <w:kern w:val="0"/>
                <w:sz w:val="24"/>
                <w:szCs w:val="24"/>
              </w:rPr>
              <w:t>习近平法治思想</w:t>
            </w: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党的重要会议精神、习近平新时代中国特色社会主义思想、习近平法治思想</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局机关及系统单位全体干部</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机关党办</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法规处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7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持续加强宪法学习宣传</w:t>
            </w: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宪法</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局机关及系统单位全体干部</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法规处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机关党办</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12.4国家宪法日</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宪法宣传周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27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持续推进民法典学习宣传</w:t>
            </w: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民法典</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color w:val="000000"/>
                <w:kern w:val="0"/>
                <w:sz w:val="24"/>
                <w:szCs w:val="24"/>
                <w:lang w:eastAsia="zh-CN"/>
              </w:rPr>
              <w:t>局机关及系统单位全体干部</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法规处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民法典宣传月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w:t>
            </w:r>
          </w:p>
        </w:tc>
        <w:tc>
          <w:tcPr>
            <w:tcW w:w="27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深入宣传与服务全市大局密切相关的法律法规</w:t>
            </w: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行政许可法、行政处罚法</w:t>
            </w:r>
            <w:r>
              <w:rPr>
                <w:rFonts w:hint="eastAsia" w:ascii="仿宋_GB2312" w:hAnsi="仿宋_GB2312" w:eastAsia="仿宋_GB2312" w:cs="仿宋_GB2312"/>
                <w:color w:val="auto"/>
                <w:kern w:val="0"/>
                <w:sz w:val="24"/>
                <w:szCs w:val="24"/>
                <w:lang w:eastAsia="zh-CN"/>
              </w:rPr>
              <w:t>、行政复议法、</w:t>
            </w:r>
            <w:r>
              <w:rPr>
                <w:rFonts w:hint="eastAsia" w:ascii="仿宋_GB2312" w:hAnsi="仿宋_GB2312" w:eastAsia="仿宋_GB2312" w:cs="仿宋_GB2312"/>
                <w:color w:val="000000"/>
                <w:kern w:val="0"/>
                <w:sz w:val="24"/>
                <w:szCs w:val="24"/>
                <w:lang w:eastAsia="zh-CN"/>
              </w:rPr>
              <w:t>政府信息公开条例等依法行政领域法律法规；</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优化营商环境、公平竞争、知识产权保护等相关法律法规</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局机关及系统单位全体干部、科技创新主体、科学技术人员、执法对象等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法规处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办公室</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引智处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监督处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生物处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基础处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w:t>
            </w:r>
          </w:p>
        </w:tc>
        <w:tc>
          <w:tcPr>
            <w:tcW w:w="27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深入宣传高质量发展和社会治理现代化密切相关的法律法规</w:t>
            </w: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000000"/>
                <w:kern w:val="0"/>
                <w:sz w:val="24"/>
                <w:szCs w:val="24"/>
                <w:lang w:eastAsia="zh-CN"/>
              </w:rPr>
              <w:t>国家安全法、反分裂国家法、生物安全法、数据安全法、网络安全法、</w:t>
            </w:r>
            <w:r>
              <w:rPr>
                <w:rFonts w:hint="eastAsia" w:ascii="仿宋_GB2312" w:hAnsi="仿宋_GB2312" w:eastAsia="仿宋_GB2312" w:cs="仿宋_GB2312"/>
                <w:color w:val="auto"/>
                <w:kern w:val="0"/>
                <w:sz w:val="24"/>
                <w:szCs w:val="24"/>
                <w:lang w:eastAsia="zh-CN"/>
              </w:rPr>
              <w:t>个人信息保护法、环境保护法、水污染防治法</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auto"/>
                <w:kern w:val="0"/>
                <w:sz w:val="24"/>
                <w:szCs w:val="24"/>
                <w:lang w:eastAsia="zh-CN"/>
              </w:rPr>
              <w:t>、安全生产法、保密法、退役军人保障法、公职人员政务处分法</w:t>
            </w:r>
            <w:r>
              <w:rPr>
                <w:rFonts w:hint="eastAsia" w:ascii="仿宋_GB2312" w:hAnsi="仿宋_GB2312" w:eastAsia="仿宋_GB2312" w:cs="仿宋_GB2312"/>
                <w:color w:val="000000"/>
                <w:kern w:val="0"/>
                <w:sz w:val="24"/>
                <w:szCs w:val="24"/>
                <w:lang w:eastAsia="zh-CN"/>
              </w:rPr>
              <w:t>等法律法规</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局机关及系统单位全体干部</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院所处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生物处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网信办</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社农处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办公室</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干部人事处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4·15全民国家</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安全教育日</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w:t>
            </w:r>
          </w:p>
        </w:tc>
        <w:tc>
          <w:tcPr>
            <w:tcW w:w="27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深入学习宣传</w:t>
            </w:r>
            <w:r>
              <w:rPr>
                <w:rFonts w:hint="eastAsia" w:ascii="仿宋_GB2312" w:hAnsi="仿宋_GB2312" w:eastAsia="仿宋_GB2312" w:cs="仿宋_GB2312"/>
                <w:color w:val="000000"/>
                <w:kern w:val="0"/>
                <w:sz w:val="24"/>
                <w:szCs w:val="24"/>
              </w:rPr>
              <w:t>党内法规</w:t>
            </w: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党章</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中国共产党廉洁自律准则</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关于新形势下党内政治生活的若干准则</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中国共产党纪律处分条例</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中国共产党党内监督条例</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中国共产党问责条例</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领导干部报告个人有关事项规定等</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局</w:t>
            </w:r>
            <w:r>
              <w:rPr>
                <w:rFonts w:hint="eastAsia" w:ascii="仿宋_GB2312" w:hAnsi="仿宋_GB2312" w:eastAsia="仿宋_GB2312" w:cs="仿宋_GB2312"/>
                <w:color w:val="000000"/>
                <w:kern w:val="0"/>
                <w:sz w:val="24"/>
                <w:szCs w:val="24"/>
              </w:rPr>
              <w:t>机关</w:t>
            </w:r>
            <w:r>
              <w:rPr>
                <w:rFonts w:hint="eastAsia" w:ascii="仿宋_GB2312" w:hAnsi="仿宋_GB2312" w:eastAsia="仿宋_GB2312" w:cs="仿宋_GB2312"/>
                <w:color w:val="000000"/>
                <w:kern w:val="0"/>
                <w:sz w:val="24"/>
                <w:szCs w:val="24"/>
                <w:lang w:eastAsia="zh-CN"/>
              </w:rPr>
              <w:t>及直属</w:t>
            </w:r>
            <w:r>
              <w:rPr>
                <w:rFonts w:hint="eastAsia" w:ascii="仿宋_GB2312" w:hAnsi="仿宋_GB2312" w:eastAsia="仿宋_GB2312" w:cs="仿宋_GB2312"/>
                <w:color w:val="000000"/>
                <w:kern w:val="0"/>
                <w:sz w:val="24"/>
                <w:szCs w:val="24"/>
              </w:rPr>
              <w:t>单位</w:t>
            </w:r>
            <w:r>
              <w:rPr>
                <w:rFonts w:hint="eastAsia" w:ascii="仿宋_GB2312" w:hAnsi="仿宋_GB2312" w:eastAsia="仿宋_GB2312" w:cs="仿宋_GB2312"/>
                <w:color w:val="000000"/>
                <w:kern w:val="0"/>
                <w:sz w:val="24"/>
                <w:szCs w:val="24"/>
                <w:lang w:eastAsia="zh-CN"/>
              </w:rPr>
              <w:t>党员干部</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机关党办</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党群处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干部人事处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w:t>
            </w:r>
          </w:p>
        </w:tc>
        <w:tc>
          <w:tcPr>
            <w:tcW w:w="27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加强宣传科技创新各领域法律法规</w:t>
            </w: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中华人民共和国科学技术</w:t>
            </w:r>
            <w:r>
              <w:rPr>
                <w:rFonts w:hint="eastAsia" w:ascii="仿宋_GB2312" w:hAnsi="仿宋_GB2312" w:eastAsia="仿宋_GB2312" w:cs="仿宋_GB2312"/>
                <w:color w:val="000000"/>
                <w:kern w:val="0"/>
                <w:sz w:val="24"/>
                <w:szCs w:val="24"/>
              </w:rPr>
              <w:t>进步法</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天津市科技进步促进条例</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局机关及系统单位全体干部、科技创新主体、科学技术人员、社会公众等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法规处</w:t>
            </w:r>
            <w:r>
              <w:rPr>
                <w:rFonts w:hint="eastAsia" w:ascii="仿宋_GB2312" w:hAnsi="仿宋_GB2312" w:eastAsia="仿宋_GB2312" w:cs="仿宋_GB2312"/>
                <w:color w:val="000000"/>
                <w:kern w:val="0"/>
                <w:sz w:val="24"/>
                <w:szCs w:val="24"/>
                <w:lang w:eastAsia="zh-CN"/>
              </w:rPr>
              <w:t>及机关各处室</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c>
          <w:tcPr>
            <w:tcW w:w="27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天津市人民代表大会常务委员会关于推进京津冀协同创新共同体建设的决定</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局机关及系统单位全体干部、科技创新主体、科学技术人员、社会公众等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合作处及各相关处室</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w:t>
            </w:r>
          </w:p>
        </w:tc>
        <w:tc>
          <w:tcPr>
            <w:tcW w:w="27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天津市促进天开高教科创园发展条例</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局机关及系统单位全体干部、科技创新主体、科学技术人员、社会公众等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园区综合管理处、园区规划建设处、园区创新发展处、园区营商环境处及各相关处室</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w:t>
            </w:r>
          </w:p>
        </w:tc>
        <w:tc>
          <w:tcPr>
            <w:tcW w:w="27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中华人民共和国</w:t>
            </w:r>
            <w:r>
              <w:rPr>
                <w:rFonts w:hint="eastAsia" w:ascii="仿宋_GB2312" w:hAnsi="仿宋_GB2312" w:eastAsia="仿宋_GB2312" w:cs="仿宋_GB2312"/>
                <w:color w:val="auto"/>
                <w:kern w:val="0"/>
                <w:sz w:val="24"/>
                <w:szCs w:val="24"/>
              </w:rPr>
              <w:t>科学技术普及法</w:t>
            </w:r>
            <w:r>
              <w:rPr>
                <w:rFonts w:hint="eastAsia" w:ascii="仿宋_GB2312" w:hAnsi="仿宋_GB2312" w:eastAsia="仿宋_GB2312" w:cs="仿宋_GB2312"/>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天津市科学技术普及条例</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局机关及系统单位全体干部、科技创新主体、科学技术人员、社会公众等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引智处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w:t>
            </w:r>
          </w:p>
        </w:tc>
        <w:tc>
          <w:tcPr>
            <w:tcW w:w="27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中华人民共和国</w:t>
            </w:r>
            <w:r>
              <w:rPr>
                <w:rFonts w:hint="eastAsia" w:ascii="仿宋_GB2312" w:hAnsi="仿宋_GB2312" w:eastAsia="仿宋_GB2312" w:cs="仿宋_GB2312"/>
                <w:color w:val="auto"/>
                <w:kern w:val="0"/>
                <w:sz w:val="24"/>
                <w:szCs w:val="24"/>
              </w:rPr>
              <w:t>促进科技成果转化法</w:t>
            </w:r>
            <w:r>
              <w:rPr>
                <w:rFonts w:hint="eastAsia" w:ascii="仿宋_GB2312" w:hAnsi="仿宋_GB2312" w:eastAsia="仿宋_GB2312" w:cs="仿宋_GB2312"/>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天津市促进科技成果转化条例</w:t>
            </w:r>
            <w:r>
              <w:rPr>
                <w:rFonts w:hint="eastAsia" w:ascii="仿宋_GB2312" w:hAnsi="仿宋_GB2312" w:eastAsia="仿宋_GB2312" w:cs="仿宋_GB2312"/>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国家科学技术奖励条例</w:t>
            </w:r>
            <w:r>
              <w:rPr>
                <w:rFonts w:hint="eastAsia" w:ascii="仿宋_GB2312" w:hAnsi="仿宋_GB2312" w:eastAsia="仿宋_GB2312" w:cs="仿宋_GB2312"/>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天津市科学技术奖励办法</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局机关及系统单位全体干部、科技创新主体、科学技术人员、社会公众等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成果处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w:t>
            </w:r>
          </w:p>
        </w:tc>
        <w:tc>
          <w:tcPr>
            <w:tcW w:w="27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天津国家自主创新示范区条例</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局机关及系统单位全体干部、科技创新主体、科学技术人员、社会公众等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区域处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w:t>
            </w:r>
          </w:p>
        </w:tc>
        <w:tc>
          <w:tcPr>
            <w:tcW w:w="27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人类遗传资源管理条例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人类遗传资源管理条例实施细则</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局机关及系统单位全体干部、科技创新主体、科学技术人员、社会公众等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生物处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14</w:t>
            </w:r>
          </w:p>
        </w:tc>
        <w:tc>
          <w:tcPr>
            <w:tcW w:w="27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实验动物管理条例</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天津市实施《实验动物管理条例》的办法</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局机关及系统单位全体干部、科技创新主体、科学技术人员、社会公众等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基础处</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w:t>
            </w:r>
          </w:p>
        </w:tc>
        <w:tc>
          <w:tcPr>
            <w:tcW w:w="27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科学技术活动违规行为处理暂行规定等法律法规</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局机关及系统单位全体干部、科技创新主体、科学技术人员等</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监督处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各相关处室</w:t>
            </w:r>
          </w:p>
        </w:tc>
        <w:tc>
          <w:tcPr>
            <w:tcW w:w="22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长期坚持</w:t>
            </w:r>
          </w:p>
        </w:tc>
      </w:tr>
    </w:tbl>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F36D2"/>
    <w:rsid w:val="1AF76FFB"/>
    <w:rsid w:val="27CF1E28"/>
    <w:rsid w:val="2BDFE421"/>
    <w:rsid w:val="2CDFE169"/>
    <w:rsid w:val="2E79D6DD"/>
    <w:rsid w:val="2F709647"/>
    <w:rsid w:val="3AAA37F1"/>
    <w:rsid w:val="3BAD7BB4"/>
    <w:rsid w:val="3CFFD886"/>
    <w:rsid w:val="3EFE0EF1"/>
    <w:rsid w:val="3FF9A056"/>
    <w:rsid w:val="3FFFE21B"/>
    <w:rsid w:val="4DF69867"/>
    <w:rsid w:val="52F89C19"/>
    <w:rsid w:val="53DA836E"/>
    <w:rsid w:val="546CA04C"/>
    <w:rsid w:val="55FF6F3C"/>
    <w:rsid w:val="5B7BB3A2"/>
    <w:rsid w:val="5B920B34"/>
    <w:rsid w:val="5BEB5328"/>
    <w:rsid w:val="5EFEC3C5"/>
    <w:rsid w:val="5FF8F0F0"/>
    <w:rsid w:val="667FE8E0"/>
    <w:rsid w:val="67BC1FB3"/>
    <w:rsid w:val="6BD5D3B2"/>
    <w:rsid w:val="6D753422"/>
    <w:rsid w:val="6D8B4CEA"/>
    <w:rsid w:val="6E5BB838"/>
    <w:rsid w:val="6EBE05DD"/>
    <w:rsid w:val="6F6CC59A"/>
    <w:rsid w:val="6FFBBA27"/>
    <w:rsid w:val="6FFF8D6C"/>
    <w:rsid w:val="71FDE6DD"/>
    <w:rsid w:val="72FF8AA3"/>
    <w:rsid w:val="72FFF315"/>
    <w:rsid w:val="73ED3116"/>
    <w:rsid w:val="751D1FE7"/>
    <w:rsid w:val="75F9B331"/>
    <w:rsid w:val="767B87E3"/>
    <w:rsid w:val="77599501"/>
    <w:rsid w:val="77A9B2C2"/>
    <w:rsid w:val="77B76810"/>
    <w:rsid w:val="77E36931"/>
    <w:rsid w:val="77E9BBE4"/>
    <w:rsid w:val="77FDBE41"/>
    <w:rsid w:val="77FF6479"/>
    <w:rsid w:val="7B6E1D93"/>
    <w:rsid w:val="7B9F4FDD"/>
    <w:rsid w:val="7BB7344D"/>
    <w:rsid w:val="7BBE6890"/>
    <w:rsid w:val="7BDF3950"/>
    <w:rsid w:val="7BE70B24"/>
    <w:rsid w:val="7BEFDF77"/>
    <w:rsid w:val="7BF97C1E"/>
    <w:rsid w:val="7BFE0F58"/>
    <w:rsid w:val="7CFB5273"/>
    <w:rsid w:val="7E7B766A"/>
    <w:rsid w:val="7EDD4E7C"/>
    <w:rsid w:val="7EEFE427"/>
    <w:rsid w:val="7EFE5D34"/>
    <w:rsid w:val="7F1BFDB7"/>
    <w:rsid w:val="7F6BE713"/>
    <w:rsid w:val="7F6F595B"/>
    <w:rsid w:val="7F7FF33B"/>
    <w:rsid w:val="7F9DAEE9"/>
    <w:rsid w:val="7FBDBEE2"/>
    <w:rsid w:val="7FBE4214"/>
    <w:rsid w:val="7FD6D9AC"/>
    <w:rsid w:val="7FEF2B39"/>
    <w:rsid w:val="7FF52D0E"/>
    <w:rsid w:val="7FF76B61"/>
    <w:rsid w:val="7FFD4C0B"/>
    <w:rsid w:val="9FCF5A9B"/>
    <w:rsid w:val="A6FA841A"/>
    <w:rsid w:val="AEEE2094"/>
    <w:rsid w:val="B76BFE32"/>
    <w:rsid w:val="BBED60D2"/>
    <w:rsid w:val="BBF81407"/>
    <w:rsid w:val="BBFC61B9"/>
    <w:rsid w:val="BCEF91AE"/>
    <w:rsid w:val="BD74EC17"/>
    <w:rsid w:val="BDAA626F"/>
    <w:rsid w:val="BE7B79F4"/>
    <w:rsid w:val="BEFFDDB4"/>
    <w:rsid w:val="BF5C9D05"/>
    <w:rsid w:val="BFDF6493"/>
    <w:rsid w:val="BFFED401"/>
    <w:rsid w:val="C357B5D1"/>
    <w:rsid w:val="C71FF790"/>
    <w:rsid w:val="CDFB92BB"/>
    <w:rsid w:val="CFDC2B1B"/>
    <w:rsid w:val="D63E043B"/>
    <w:rsid w:val="D7499295"/>
    <w:rsid w:val="D7FE1D69"/>
    <w:rsid w:val="D95F2CF0"/>
    <w:rsid w:val="D99F0939"/>
    <w:rsid w:val="D9B36400"/>
    <w:rsid w:val="DB6B95E2"/>
    <w:rsid w:val="DC3FFC37"/>
    <w:rsid w:val="DD35C3C2"/>
    <w:rsid w:val="DD9DCADC"/>
    <w:rsid w:val="DD9F05D0"/>
    <w:rsid w:val="DF7F77A4"/>
    <w:rsid w:val="DFAFA513"/>
    <w:rsid w:val="DFBF0DDF"/>
    <w:rsid w:val="E3FF2D7E"/>
    <w:rsid w:val="E77794F6"/>
    <w:rsid w:val="EB6D1E09"/>
    <w:rsid w:val="EB774A17"/>
    <w:rsid w:val="EB7C29C1"/>
    <w:rsid w:val="EBD54B47"/>
    <w:rsid w:val="EBFF5814"/>
    <w:rsid w:val="EC7AC44D"/>
    <w:rsid w:val="EDEEB98E"/>
    <w:rsid w:val="EDFB7D85"/>
    <w:rsid w:val="EF2EA3AE"/>
    <w:rsid w:val="EF5FF7DD"/>
    <w:rsid w:val="EF973EDE"/>
    <w:rsid w:val="EF9FE2F3"/>
    <w:rsid w:val="EFDFA9FF"/>
    <w:rsid w:val="EFF94800"/>
    <w:rsid w:val="F3BF5AF7"/>
    <w:rsid w:val="F3BFC348"/>
    <w:rsid w:val="F4674E4C"/>
    <w:rsid w:val="F5FB2FAD"/>
    <w:rsid w:val="F69EEAAA"/>
    <w:rsid w:val="F6B13873"/>
    <w:rsid w:val="F79655FE"/>
    <w:rsid w:val="F8CF2235"/>
    <w:rsid w:val="FAE19DAC"/>
    <w:rsid w:val="FAFA8AE2"/>
    <w:rsid w:val="FAFD3E5B"/>
    <w:rsid w:val="FB7F308F"/>
    <w:rsid w:val="FBDE4FF7"/>
    <w:rsid w:val="FBDF3BBD"/>
    <w:rsid w:val="FBEBDDDF"/>
    <w:rsid w:val="FBFC0E68"/>
    <w:rsid w:val="FCDFE4DD"/>
    <w:rsid w:val="FDA3F2F8"/>
    <w:rsid w:val="FDDFEDDE"/>
    <w:rsid w:val="FDFBDECF"/>
    <w:rsid w:val="FDFF1251"/>
    <w:rsid w:val="FE7AF575"/>
    <w:rsid w:val="FE7CBF31"/>
    <w:rsid w:val="FED130D9"/>
    <w:rsid w:val="FF71A109"/>
    <w:rsid w:val="FF7F0B3A"/>
    <w:rsid w:val="FF93F182"/>
    <w:rsid w:val="FFEFCB5D"/>
    <w:rsid w:val="FFF3FEAE"/>
    <w:rsid w:val="FFFB410B"/>
    <w:rsid w:val="FFFFB8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customStyle="1" w:styleId="9">
    <w:name w:val="批注框文本 Char"/>
    <w:link w:val="2"/>
    <w:semiHidden/>
    <w:uiPriority w:val="99"/>
    <w:rPr>
      <w:kern w:val="2"/>
      <w:sz w:val="18"/>
      <w:szCs w:val="18"/>
    </w:rPr>
  </w:style>
  <w:style w:type="character" w:customStyle="1" w:styleId="10">
    <w:name w:val="页脚 Char"/>
    <w:link w:val="3"/>
    <w:uiPriority w:val="99"/>
    <w:rPr>
      <w:sz w:val="18"/>
      <w:szCs w:val="18"/>
    </w:rPr>
  </w:style>
  <w:style w:type="character" w:customStyle="1" w:styleId="11">
    <w:name w:val="页眉 Char"/>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353</Words>
  <Characters>2017</Characters>
  <Lines>16</Lines>
  <Paragraphs>4</Paragraphs>
  <TotalTime>5.66666666666667</TotalTime>
  <ScaleCrop>false</ScaleCrop>
  <LinksUpToDate>false</LinksUpToDate>
  <CharactersWithSpaces>2366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2020-07-06T08:38:00Z</dcterms:created>
  <dc:creator>卞刚</dc:creator>
  <cp:lastModifiedBy>kylin</cp:lastModifiedBy>
  <cp:lastPrinted>2022-05-26T17:03:16Z</cp:lastPrinted>
  <dcterms:modified xsi:type="dcterms:W3CDTF">2024-03-27T10:14:41Z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