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方正小标宋_GBK" w:cs="方正小标宋_GBK"/>
          <w:sz w:val="44"/>
          <w:szCs w:val="44"/>
          <w:u w:val="none"/>
          <w:lang w:val="en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方正小标宋_GBK" w:cs="方正小标宋_GBK"/>
          <w:sz w:val="44"/>
          <w:szCs w:val="44"/>
          <w:u w:val="none"/>
        </w:rPr>
      </w:pPr>
      <w:r>
        <w:rPr>
          <w:rFonts w:hint="eastAsia" w:ascii="仿宋_GB2312" w:hAnsi="仿宋_GB2312" w:eastAsia="方正小标宋_GBK" w:cs="方正小标宋_GBK"/>
          <w:sz w:val="44"/>
          <w:szCs w:val="44"/>
          <w:u w:val="none"/>
          <w:lang w:val="en" w:eastAsia="zh-CN"/>
        </w:rPr>
        <w:t>天津市落实《</w:t>
      </w:r>
      <w:r>
        <w:rPr>
          <w:rFonts w:hint="eastAsia" w:ascii="仿宋_GB2312" w:hAnsi="仿宋_GB2312" w:eastAsia="方正小标宋_GBK" w:cs="方正小标宋_GBK"/>
          <w:sz w:val="44"/>
          <w:szCs w:val="44"/>
          <w:u w:val="none"/>
        </w:rPr>
        <w:t>国务院办公厅关于</w:t>
      </w:r>
    </w:p>
    <w:p>
      <w:pPr>
        <w:spacing w:line="560" w:lineRule="exact"/>
        <w:jc w:val="center"/>
        <w:rPr>
          <w:rFonts w:hint="eastAsia" w:ascii="仿宋_GB2312" w:hAnsi="仿宋_GB2312" w:eastAsia="方正小标宋_GBK" w:cs="方正小标宋_GBK"/>
          <w:sz w:val="44"/>
          <w:szCs w:val="44"/>
          <w:u w:val="none"/>
          <w:lang w:val="en" w:eastAsia="zh-CN"/>
        </w:rPr>
      </w:pPr>
      <w:r>
        <w:rPr>
          <w:rFonts w:hint="eastAsia" w:ascii="仿宋_GB2312" w:hAnsi="仿宋_GB2312" w:eastAsia="方正小标宋_GBK" w:cs="方正小标宋_GBK"/>
          <w:sz w:val="44"/>
          <w:szCs w:val="44"/>
          <w:u w:val="none"/>
        </w:rPr>
        <w:t>完善科技成果评价机制的指导意见</w:t>
      </w:r>
      <w:r>
        <w:rPr>
          <w:rFonts w:hint="eastAsia" w:ascii="仿宋_GB2312" w:hAnsi="仿宋_GB2312" w:eastAsia="方正小标宋_GBK" w:cs="方正小标宋_GBK"/>
          <w:sz w:val="44"/>
          <w:szCs w:val="44"/>
          <w:u w:val="none"/>
          <w:lang w:val="en" w:eastAsia="zh-CN"/>
        </w:rPr>
        <w:t>》实施方案</w:t>
      </w:r>
    </w:p>
    <w:p>
      <w:pPr>
        <w:pStyle w:val="2"/>
        <w:jc w:val="center"/>
        <w:rPr>
          <w:rFonts w:hint="eastAsia" w:ascii="仿宋_GB2312" w:hAnsi="仿宋_GB2312" w:eastAsia="华文楷体" w:cs="华文楷体"/>
          <w:sz w:val="32"/>
          <w:szCs w:val="32"/>
          <w:lang w:val="en" w:eastAsia="zh-CN"/>
        </w:rPr>
      </w:pPr>
      <w:r>
        <w:rPr>
          <w:rFonts w:hint="eastAsia" w:ascii="仿宋_GB2312" w:hAnsi="仿宋_GB2312" w:eastAsia="华文楷体" w:cs="华文楷体"/>
          <w:sz w:val="32"/>
          <w:szCs w:val="32"/>
          <w:u w:val="none"/>
          <w:lang w:val="en" w:eastAsia="zh-CN"/>
        </w:rPr>
        <w:t>（征求意见稿）</w:t>
      </w:r>
    </w:p>
    <w:p>
      <w:pPr>
        <w:spacing w:line="560" w:lineRule="exact"/>
        <w:ind w:firstLine="606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为健全完善科技成果评价机制，打通政策落实堵点、难点，推动科技成果转化为经济发展的现实动力，打造京津冀自主创新重要源头和原始创新主要策源地，根据《国务院办公厅关于完善科技成果评价机制的指导意见》（国办发</w:t>
      </w:r>
      <w:r>
        <w:rPr>
          <w:rFonts w:hint="eastAsia" w:ascii="仿宋_GB2312" w:hAnsi="仿宋_GB2312" w:eastAsia="仿宋" w:cs="仿宋_GB2312"/>
          <w:sz w:val="32"/>
          <w:szCs w:val="32"/>
          <w:u w:val="none"/>
        </w:rPr>
        <w:t>﹝2</w:t>
      </w:r>
      <w:r>
        <w:rPr>
          <w:rFonts w:ascii="仿宋_GB2312" w:hAnsi="仿宋_GB2312" w:eastAsia="仿宋" w:cs="仿宋_GB2312"/>
          <w:sz w:val="32"/>
          <w:szCs w:val="32"/>
          <w:u w:val="none"/>
        </w:rPr>
        <w:t>021</w:t>
      </w:r>
      <w:r>
        <w:rPr>
          <w:rFonts w:hint="eastAsia" w:ascii="仿宋_GB2312" w:hAnsi="仿宋_GB2312" w:eastAsia="仿宋" w:cs="仿宋_GB2312"/>
          <w:sz w:val="32"/>
          <w:szCs w:val="32"/>
          <w:u w:val="none"/>
        </w:rPr>
        <w:t>﹞2</w:t>
      </w:r>
      <w:r>
        <w:rPr>
          <w:rFonts w:ascii="仿宋_GB2312" w:hAnsi="仿宋_GB2312" w:eastAsia="仿宋" w:cs="仿宋_GB2312"/>
          <w:sz w:val="32"/>
          <w:szCs w:val="32"/>
          <w:u w:val="none"/>
        </w:rPr>
        <w:t>6</w:t>
      </w:r>
      <w:r>
        <w:rPr>
          <w:rFonts w:hint="eastAsia" w:ascii="仿宋_GB2312" w:hAnsi="仿宋_GB2312" w:eastAsia="仿宋" w:cs="仿宋_GB2312"/>
          <w:sz w:val="32"/>
          <w:szCs w:val="32"/>
          <w:u w:val="none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），提出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本方案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outlineLvl w:val="0"/>
        <w:rPr>
          <w:rFonts w:ascii="仿宋_GB2312" w:hAnsi="仿宋_GB2312" w:eastAsia="楷体_GB2312" w:cs="楷体_GB2312"/>
          <w:sz w:val="32"/>
          <w:szCs w:val="32"/>
          <w:u w:val="none"/>
        </w:rPr>
      </w:pPr>
      <w:r>
        <w:rPr>
          <w:rFonts w:hint="eastAsia" w:ascii="仿宋_GB2312" w:hAnsi="仿宋_GB2312" w:eastAsia="黑体" w:cs="黑体"/>
          <w:sz w:val="32"/>
          <w:szCs w:val="32"/>
          <w:u w:val="none"/>
        </w:rPr>
        <w:t>一、工作</w:t>
      </w:r>
      <w:r>
        <w:rPr>
          <w:rFonts w:hint="eastAsia" w:ascii="仿宋_GB2312" w:hAnsi="仿宋_GB2312" w:eastAsia="黑体" w:cs="黑体"/>
          <w:sz w:val="32"/>
          <w:szCs w:val="32"/>
          <w:u w:val="none"/>
          <w:lang w:eastAsia="zh-CN"/>
        </w:rPr>
        <w:t>思路与</w:t>
      </w:r>
      <w:r>
        <w:rPr>
          <w:rFonts w:hint="eastAsia" w:ascii="仿宋_GB2312" w:hAnsi="仿宋_GB2312" w:eastAsia="黑体" w:cs="黑体"/>
          <w:sz w:val="32"/>
          <w:szCs w:val="32"/>
          <w:u w:val="none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深入实施创新驱动发展战略，深化科技体制改革，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尊重科技创新规律，正确处理政府和市场关系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坚持科技创新质量、绩效、贡献为核心的评价导向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科学分类、多维度评价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科技成果，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通过评价激发科技人员积极性，推动产出高质量成果、营造良好创新生态，促进创新链、产业链、价值链深度融合，为构建新发展格局和实现高质量发展提供有力支撑。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到202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年，全市技术转移机构超过200家，大学科技园达到5家，全市技术合同成交额超过1700亿元，比2020年增长50%以上，占GDP比重位居全国前列。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outlineLvl w:val="0"/>
        <w:rPr>
          <w:rFonts w:ascii="仿宋_GB2312" w:hAnsi="仿宋_GB2312" w:eastAsia="黑体" w:cs="黑体"/>
          <w:sz w:val="32"/>
          <w:szCs w:val="32"/>
          <w:u w:val="none"/>
        </w:rPr>
      </w:pPr>
      <w:r>
        <w:rPr>
          <w:rFonts w:hint="eastAsia" w:ascii="仿宋_GB2312" w:hAnsi="仿宋_GB2312" w:eastAsia="黑体" w:cs="黑体"/>
          <w:sz w:val="32"/>
          <w:szCs w:val="32"/>
          <w:u w:val="none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outlineLvl w:val="0"/>
        <w:rPr>
          <w:rFonts w:ascii="仿宋_GB2312" w:hAnsi="仿宋_GB2312" w:eastAsia="楷体_GB2312" w:cs="楷体_GB2312"/>
          <w:sz w:val="32"/>
          <w:szCs w:val="32"/>
          <w:u w:val="none"/>
        </w:rPr>
      </w:pPr>
      <w:r>
        <w:rPr>
          <w:rFonts w:hint="eastAsia" w:ascii="仿宋_GB2312" w:hAnsi="仿宋_GB2312" w:eastAsia="楷体_GB2312" w:cs="楷体_GB2312"/>
          <w:sz w:val="32"/>
          <w:szCs w:val="32"/>
          <w:u w:val="none"/>
        </w:rPr>
        <w:t>（一）构建高质量科技成果产出机制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1.强化企业创新主体地位。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大力发展科技型企业，加强国家高新技术企业和“独角兽”企业培育，完善“雏鹰-瞪羚-领军”企业梯度培育机制，在应用场景、数据支持、评价奖励等方面给予支持。鼓励企业与高校院所开展产学研合作，支持建设技术创新中心、重点实验室、新型研发机构、产业创新战略联盟等创新平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探索自贸区外设立保税研发区，进口研发设备免征税费。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/>
        <w:textAlignment w:val="auto"/>
        <w:rPr>
          <w:rFonts w:hint="eastAsia" w:ascii="仿宋_GB2312" w:hAnsi="仿宋_GB2312" w:eastAsia="仿宋_GB2312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2.改革科技项目形成机制。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应用类科技项目坚持从市场需求出发，重大科技项目实行“揭榜挂帅”，企业技术难题实行科研众包；鼓励企业参与应用类项目指南制定和牵头承担，投入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相应的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配套资金与财政资金捆绑实施科研项目，从科研立项源头推动成果与市场的对接。鼓励海河实验室联合龙头企业共同建设，结合我市重点产业和企业需求，确定研究课题。</w:t>
      </w:r>
      <w:r>
        <w:rPr>
          <w:rFonts w:hint="eastAsia" w:ascii="仿宋_GB2312" w:hAnsi="仿宋_GB2312" w:eastAsia="仿宋_GB2312"/>
          <w:kern w:val="0"/>
          <w:sz w:val="32"/>
          <w:szCs w:val="32"/>
          <w:u w:val="none"/>
        </w:rPr>
        <w:t>鼓励科研单位以企业需求为研究课题，派驻科研人员入驻企业解决技术难题，给予科技特派员项目支持。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3.完善科技成果分类评价体系</w:t>
      </w: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/>
          <w:kern w:val="0"/>
          <w:sz w:val="32"/>
          <w:szCs w:val="32"/>
          <w:u w:val="none"/>
        </w:rPr>
        <w:t>明确科技成果评价主体责任，实行“谁委托科研任务谁评价”、“谁使用科研成果谁评价”。</w:t>
      </w:r>
      <w:r>
        <w:rPr>
          <w:rFonts w:hint="eastAsia" w:ascii="仿宋_GB2312" w:hAnsi="仿宋_GB2312" w:eastAsia="仿宋_GB2312"/>
          <w:kern w:val="0"/>
          <w:sz w:val="32"/>
          <w:szCs w:val="32"/>
          <w:u w:val="none"/>
          <w:lang w:eastAsia="zh-CN"/>
        </w:rPr>
        <w:t>对</w:t>
      </w:r>
      <w:r>
        <w:rPr>
          <w:rFonts w:hint="eastAsia" w:ascii="仿宋_GB2312" w:hAnsi="仿宋_GB2312" w:eastAsia="仿宋_GB2312"/>
          <w:kern w:val="0"/>
          <w:sz w:val="32"/>
          <w:szCs w:val="32"/>
          <w:u w:val="none"/>
        </w:rPr>
        <w:t>基础研究、应用研究、技术开发和产业化等不同类别</w:t>
      </w:r>
      <w:r>
        <w:rPr>
          <w:rFonts w:hint="eastAsia" w:ascii="仿宋_GB2312" w:hAnsi="仿宋_GB2312" w:eastAsia="仿宋_GB2312"/>
          <w:kern w:val="0"/>
          <w:sz w:val="32"/>
          <w:szCs w:val="32"/>
          <w:u w:val="none"/>
          <w:lang w:eastAsia="zh-CN"/>
        </w:rPr>
        <w:t>科技成果</w:t>
      </w:r>
      <w:r>
        <w:rPr>
          <w:rFonts w:hint="eastAsia" w:ascii="仿宋_GB2312" w:hAnsi="仿宋_GB2312" w:eastAsia="仿宋_GB2312"/>
          <w:kern w:val="0"/>
          <w:sz w:val="32"/>
          <w:szCs w:val="32"/>
          <w:u w:val="none"/>
        </w:rPr>
        <w:t>进行分类评价；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  <w:lang w:eastAsia="zh-CN"/>
        </w:rPr>
        <w:t>根据科技成果不同特点和评价目的，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</w:rPr>
        <w:t>按照科学、技术、经济、社会和文化价值五个维度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  <w:lang w:eastAsia="zh-CN"/>
        </w:rPr>
        <w:t>，有针对性的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</w:rPr>
        <w:t>评价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  <w:lang w:eastAsia="zh-CN"/>
        </w:rPr>
        <w:t>科技成果的多元价值；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落实国防科技成果评价制度，探索多主体参与评价的方法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/>
          <w:kern w:val="0"/>
          <w:sz w:val="32"/>
          <w:szCs w:val="32"/>
          <w:u w:val="none"/>
        </w:rPr>
        <w:t>探索建立重大成果研发过程回溯和阶段性评估机制，加强成果真实性和可靠性验证，合理评价成果研发过程性贡献。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/>
          <w:sz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  <w:u w:val="none"/>
        </w:rPr>
        <w:t>4.破解科技成果评价中的“唯论文、唯职称、唯学历、唯奖项”问题。</w:t>
      </w:r>
      <w:r>
        <w:rPr>
          <w:rFonts w:hint="eastAsia" w:ascii="仿宋_GB2312" w:hAnsi="仿宋_GB2312" w:eastAsia="仿宋_GB2312"/>
          <w:kern w:val="0"/>
          <w:sz w:val="32"/>
          <w:szCs w:val="32"/>
          <w:u w:val="none"/>
        </w:rPr>
        <w:t>全面纠正科技成果评价中单纯重数量指标、轻质量贡献等不良倾向，鼓励广大科技工作者把论文写在祖国大地上。以破除“唯论文”和“SCI至上”为突破口，不把论文数量、代表作数量、影响因子作为唯一的量化考核评价指标。对具有重大学术影响、取得显著应用效果、为经济社会发展和国家安全作出突出贡献等高质量成果，提高其考核评价权重，具体由相关科技评价组织管理单位（机构）根据实际情况确定。科学确定个人、团队和单位在科技成果产出中的贡献，坚决扭转过分重排名、争排名的不良倾向。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</w:rPr>
        <w:t>不得把成果完成人的职称、学历、头衔、获奖情况、行政职务、承担科研项目数量等作为科技成果评价、科研项目绩效评价和人才计划评审的参考依据。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5.提升知识产权管理水平。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落实科技计划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重大项目知识产权管理流程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建立专利申请前评估制度，优化专利资助奖励政策，重视专利质量和转化运用等指标，杜绝简单以申请量、授权量为评价指标，解决重数量、轻质量的问题。将知识产权管理体现在重大项目的选题、立项、实施、结题、成果转移转化各个环节。停止对专利申请的资助奖励，大幅减少并逐步取消对专利授权的奖励，通过提高转化收益比例等“后补助”方式对发明人或团队予以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楷体_GB2312" w:cs="楷体_GB2312"/>
          <w:sz w:val="32"/>
          <w:szCs w:val="32"/>
          <w:u w:val="none"/>
        </w:rPr>
      </w:pPr>
      <w:r>
        <w:rPr>
          <w:rFonts w:hint="eastAsia" w:ascii="仿宋_GB2312" w:hAnsi="仿宋_GB2312"/>
          <w:sz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楷体_GB2312" w:cs="楷体_GB2312"/>
          <w:sz w:val="32"/>
          <w:szCs w:val="32"/>
          <w:u w:val="none"/>
        </w:rPr>
        <w:t>（二）强化科技成果转化激励机制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6.充分放权赋权。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赋予科研单位科技成果使用、处置和收益分配自主权，可以赋予科研人员科技成果所有权和长期使用权，单位依法依规制定操作细则，自主实施。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科研单位自主决定转让、许可、作价投资等转化方式，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协议定价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、挂牌交易、拍卖方式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确定价格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一类事业单位依法依规获取技术开发、技术服务等成果转化收入，不属于经营性收入；单位依法落实科技成果转化收入分配政策，发放现金奖励不属于乱发放津补贴。科研单位自主规范管理以市场委托方式取得的横向科研经费，纳入单位财务统一管理，按照委托方要求或合同约定管理使用，结余经费视为科技成果转化收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7.落实收益分配机制。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科研单位应制定科技成果转化实施细则，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</w:rPr>
        <w:t>鼓励以网上办、限时办等方式，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优化服务流程、明确操作路径，全面落实收入分配、税收优惠等激励政策。成果转化收入全部留归本单位，在国家规定的最低比例基础上，可自主提高对成果转化做出重要贡献科研人员的奖励比例，其现金奖励不受绩效工资总额限制，不作为社会保险缴费基数。担任领导职务的科研人员可以获得现金或股权激励，股权激励不视同经商办企业，其中正职领导可以获得现金奖励，原则上不得获取股权激励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</w:rPr>
        <w:t>现金奖励可减按50%缴纳个人所得税；科技成果投资入股当期可暂不纳税，允许递延至转让股权时缴纳所得税。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8.完善尽职免责机制。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完善纪检监察、审计、财政等各部门联动机制，以是否符合中央精神和改革方向、是否有利于科技成果转化作为对科技成果转化活动的定性判断标准，落实“三个区分开来”要求，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依法依规一事一议确定相关人员的决策责任，坚决查处腐败问题。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积极参与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科技成果转化尽责担当行动，鼓励高等院校、科研机构、国有企业建立成果评价与转化行为负面清单，完善尽职免责规范和细则。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在建立相关制度、流程合规、履行勤勉尽责义务、没有牟取非法利益的前提下，免除单位领导决策责任；对科技人员在科技成果使用、处置和收益中出现的过错，以纠正为主，不进行责任追究；对探索性的成果转化行为不追究决策责任，对因政策变化而造成的程序问题，允许对部分环节重新办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高校院所以作价投资方式转化成果发生的投资损失，不纳入对高校院所资产保值增值考核范围。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科技成果转化有关资产评估管理机制，明确国有无形资产管理的边界和红线，优化科技成果转化管理流程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9.改革考核奖励机制。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把科技成果转化绩效作为核心要求，纳入高等院校、科研机构、国有企业创新能力评价，细化完善有利于转化的职务科技成果评估政策，激发科研人员创新与转化的活力。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修订科学技术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办法和实施细则，完善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奖励提名制，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着重奖励真正作出创造性贡献的科学家和一线科技人员，重点奖励在津落地转化、促进科技创新和经济社会发展的科技成果。在国有企业经营业绩考核中将创新投入视同利润，将成果转化绩效纳入领导人员绩效考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/>
        <w:textAlignment w:val="auto"/>
        <w:rPr>
          <w:rFonts w:ascii="仿宋_GB2312" w:hAnsi="仿宋_GB2312" w:eastAsia="楷体_GB2312" w:cs="楷体_GB2312"/>
          <w:sz w:val="32"/>
          <w:szCs w:val="32"/>
          <w:u w:val="none"/>
        </w:rPr>
      </w:pPr>
      <w:r>
        <w:rPr>
          <w:rFonts w:hint="eastAsia" w:ascii="仿宋_GB2312" w:hAnsi="仿宋_GB2312" w:eastAsia="楷体_GB2312" w:cs="楷体_GB2312"/>
          <w:sz w:val="32"/>
          <w:szCs w:val="32"/>
          <w:u w:val="none"/>
        </w:rPr>
        <w:t>（三）提升专业化服务能力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10.加强科研单位技术转移机构建设。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  <w:t>科研单位应完善成果转化协调机制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  <w:t>建立专门技术转移机构，设置技术转移岗位，可独立或联合社会化机构运营，可聘用专兼职技术经理人。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在成果转化净收益中按照规定落实专项资金，独立核算并用于技术转移运营机构或部门的能力建设和人员奖励，人员奖励部分不受核定的绩效工资总量限制。优化高校国有无形资产管理流程，建立高校技术股权退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/>
        <w:textAlignment w:val="auto"/>
        <w:rPr>
          <w:rFonts w:hint="eastAsia" w:ascii="仿宋_GB2312" w:hAnsi="仿宋_GB2312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11.发展社会化技术转移机构。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设立促进科技成果转化交易补助资金，支持以政府购买服务方式推动市级交易平台市场化运营，培育高校院所类、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行业类、区域类、服务类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技术转移机构，择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给予后补助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。引导各类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技术转移机构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建立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市场化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合作机制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，提升服务能力和水平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，为各创新主体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提供知识产权、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成果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评价、投融资等成果转化全链条专业服务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  <w:t>鼓励众创空间、投资机构、产业技术研究院拓展技术转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移功能。有条件的区结合服务绩效对技术转移机构给予支持。</w:t>
      </w:r>
      <w:r>
        <w:rPr>
          <w:rFonts w:hint="eastAsia" w:ascii="仿宋_GB2312" w:hAnsi="仿宋_GB2312"/>
          <w:sz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12．培育专业化技术转移人才。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建立多元化人才培育体系，发挥国家技术转移人才培养基地作用，开展科技成果评价师、技术经理人等培训。设立技术经纪职称，畅通技术经纪人职业发展通道。</w:t>
      </w:r>
      <w:r>
        <w:rPr>
          <w:rFonts w:hint="eastAsia" w:ascii="仿宋_GB2312" w:hAnsi="仿宋_GB2312" w:eastAsia="仿宋_GB2312"/>
          <w:kern w:val="0"/>
          <w:sz w:val="32"/>
          <w:szCs w:val="32"/>
          <w:u w:val="none"/>
        </w:rPr>
        <w:t>鼓励技术转移机构和技术经理人全程参与发明披露、评估、对接谈判，面向市场开展科技成果专业化评价活动。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将成果转化绩效纳入科技人员职称评聘的重要内容，在科技成果转化中做出重大贡献的科技人员，可以直接申报高级职称。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/>
          <w:kern w:val="0"/>
          <w:sz w:val="32"/>
          <w:szCs w:val="32"/>
          <w:u w:val="none"/>
        </w:rPr>
      </w:pPr>
      <w:r>
        <w:rPr>
          <w:rFonts w:hint="eastAsia" w:ascii="仿宋_GB2312" w:hAnsi="仿宋_GB2312"/>
          <w:sz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  <w:u w:val="none"/>
        </w:rPr>
        <w:t>13.引导规范第三方科技成果评价。</w:t>
      </w:r>
      <w:r>
        <w:rPr>
          <w:rFonts w:hint="eastAsia" w:ascii="仿宋_GB2312" w:hAnsi="仿宋_GB2312" w:eastAsia="仿宋_GB2312"/>
          <w:kern w:val="0"/>
          <w:sz w:val="32"/>
          <w:szCs w:val="32"/>
          <w:u w:val="none"/>
        </w:rPr>
        <w:t>发挥行业协会、学会、研究会、专业化评估机构等在科技成果评价中的作用，强化自律管理，健全利益关联回避制度，促进市场评价活动规范发展。根据科技成果评价通用准则，细化具体领域评价技术标准和规范。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</w:rPr>
        <w:t>加强科技成果评价理论和方法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  <w:lang w:eastAsia="zh-CN"/>
        </w:rPr>
        <w:t>应用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  <w:lang w:eastAsia="zh-CN"/>
        </w:rPr>
        <w:t>利用大数据、人工智能等技术手段，应用信息化评价工具，综合运用概念验证、知识产权评估等方式推广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</w:rPr>
        <w:t>科技成果创新性、成熟度评价指标和方法。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  <w:lang w:eastAsia="zh-CN"/>
        </w:rPr>
        <w:t>按照国家相关行业标准，支持第三方专业机构贯标，规范发展。完善科技成果信息服务平台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/>
        </w:rPr>
        <w:t>，发布成果评价政策、标准规范等信息，提高评价活动的公开透明度。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落实国家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评价诚信制度，将科技成果评价失信行为纳入科研诚信管理信息系统，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对在评价中弄虚作假、协助他人骗取评价、搞利益输送等违法违规行为“零容忍”、从严惩处，依法依规追究责任，优化科技成果评价行业生态。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楷体_GB2312" w:cs="楷体_GB2312"/>
          <w:sz w:val="32"/>
          <w:szCs w:val="32"/>
          <w:u w:val="none"/>
        </w:rPr>
      </w:pPr>
      <w:r>
        <w:rPr>
          <w:rFonts w:hint="eastAsia" w:ascii="仿宋_GB2312" w:hAnsi="仿宋_GB2312"/>
          <w:sz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楷体_GB2312" w:cs="楷体_GB2312"/>
          <w:sz w:val="32"/>
          <w:szCs w:val="32"/>
          <w:u w:val="none"/>
        </w:rPr>
        <w:t>（四）提升市场化配置能力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14.完善技术交易市场。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支持技术交易场所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  <w:t>发展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，明确科技成果挂牌交易等操作流程，健全协议定价等多元化科技成果市场交易定价模式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  <w:t>，引导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高校、科研机构和企业科技成果进场交易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提高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  <w:t>市级技术交易平台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服务能力，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  <w:t>形成成果库、需求库、案例库、评价工具方法库。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筛选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  <w:t>财政性资金支持形成的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科技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  <w:t>成果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，对高等院校、科研机构职务科技成果进行披露，形成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  <w:t>披露清单、推广清单，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公开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  <w:t>发布信息并推动转化。与国内知识产权和科技成果产权交易中心对接，集聚各类创新要素，开展线上线下相结合的技术交易活动。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15.强化金融支撑。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支持有条件的大学科技园、海河实验室建立风险投资基金；设立天使母基金，引导企业家、天使投资人、创业投资机构、专业化技术转移机构等各类市场主体提早介入研发活动。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</w:rPr>
        <w:t>完善科技成果评价与金融机构、投资公司的联动机制，引导相关金融机构、投资公司对科技成果潜在经济价值、市场估值、发展前景等进行商业化评价。推广知识价值信用贷款模式，通过银企对接活动等途径，扩大知识产权质押融资规模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u w:val="none"/>
        </w:rPr>
        <w:t>推动滨海新区开展国家知识产权运营服务体系试点城市建设，在知识产权已确权并能产生稳定现金流的前提下，规范探索知识产权证券化。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一企一策”支持科技型企业完善创新属性，进入资本市场融资发展。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16.拓展转化渠道。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发挥京津冀国家技术创新中心天津分中心作用，加强与中科院、工程院、清华大学、北京大学等合作，推动北京等地科技成果在津转化。重点围绕智能科技、生物医药、新能源新材料等领域共建国际技术转移中心。组织创新挑战赛、科技成果直通车等国家级品牌活动，持续开展以企业需求为导向的科研众包活动。引导科研人员通过到企业挂职、兼职或在职创办企业、离岗创业、科技特派员、对口帮扶等多种形式，推动科技成果向企业转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/>
          <w:sz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17.提高载体承接能力。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设立科技成果概念验证资金，支持高校院所围绕优势学科，实施概念验证项目；支持企业等创新主体建立行业概念验证中心，开展市场化的概念验证服务。大力发展大学科技园，发挥其成果转化、创业孵化、集聚资源、培育人才和协同创新等核心功能，打造成为高校成果转化“首站”和区域创新创业“核心孵化园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人工智能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试验区等发布新应用场景目录，推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重大科技成果产业化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应用示范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提高滨海中关村、宝坻中关村科技城等载体承接能力，推动北京等地科技成果在津落地。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outlineLvl w:val="0"/>
        <w:rPr>
          <w:rFonts w:ascii="仿宋_GB2312" w:hAnsi="仿宋_GB2312" w:eastAsia="黑体" w:cs="黑体"/>
          <w:sz w:val="32"/>
          <w:szCs w:val="32"/>
          <w:u w:val="none"/>
        </w:rPr>
      </w:pPr>
      <w:r>
        <w:rPr>
          <w:rFonts w:hint="eastAsia" w:ascii="仿宋_GB2312" w:hAnsi="仿宋_GB2312" w:eastAsia="黑体" w:cs="黑体"/>
          <w:sz w:val="32"/>
          <w:szCs w:val="32"/>
          <w:u w:val="none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楷体_GB2312" w:cs="楷体_GB2312"/>
          <w:sz w:val="32"/>
          <w:szCs w:val="32"/>
          <w:u w:val="none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各区、各部门要充分认识成果转化的重要性，科技、教育、人社、财政、税务等职能部门深化协调机制，齐抓共管、同向发力，明确职责分工，及时解决成果转化问题。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ascii="仿宋_GB2312" w:hAnsi="仿宋_GB2312" w:eastAsia="仿宋_GB2312"/>
          <w:sz w:val="32"/>
          <w:szCs w:val="32"/>
          <w:u w:val="none"/>
        </w:rPr>
      </w:pPr>
      <w:r>
        <w:rPr>
          <w:rFonts w:hint="eastAsia" w:ascii="仿宋_GB2312" w:hAnsi="仿宋_GB2312" w:eastAsia="楷体_GB2312" w:cs="楷体_GB2312"/>
          <w:sz w:val="32"/>
          <w:szCs w:val="32"/>
          <w:u w:val="none"/>
        </w:rPr>
        <w:t>（二）抓好政策落实。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各单位要落实主体责任，加强制度建设，细化落实举措，明确操作流程，开展常态化政策宣讲、业务培训，实现领导干部、科管人员、科研人员全覆盖。各主管部门建立健全促进科技成果转化考核评价机制，推动政策落实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</w:t>
      </w:r>
      <w:r>
        <w:rPr>
          <w:rFonts w:hint="eastAsia" w:ascii="仿宋_GB2312" w:hAnsi="仿宋_GB2312" w:eastAsia="楷体_GB2312" w:cs="楷体_GB2312"/>
          <w:sz w:val="32"/>
          <w:szCs w:val="32"/>
          <w:u w:val="none"/>
        </w:rPr>
        <w:t>（</w:t>
      </w:r>
      <w:r>
        <w:rPr>
          <w:rFonts w:hint="eastAsia" w:ascii="仿宋_GB2312" w:hAnsi="仿宋_GB2312" w:eastAsia="楷体_GB2312" w:cs="楷体_GB2312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楷体_GB2312" w:cs="楷体_GB2312"/>
          <w:sz w:val="32"/>
          <w:szCs w:val="32"/>
          <w:u w:val="none"/>
        </w:rPr>
        <w:t>）营造良好氛围。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加强对政策落实、重大成果落地、服务机构和人才等典型案例的总结、宣传，形成可复制、可推广的经验和模式，引导全社会关心和支持科技成果转移转化，营造尊重科学、崇尚创新、宽容失败的社会氛围。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0" w:footer="1077" w:gutter="0"/>
      <w:pgNumType w:fmt="numberInDash"/>
      <w:cols w:space="0" w:num="1"/>
      <w:titlePg/>
      <w:rtlGutter w:val="0"/>
      <w:docGrid w:type="linesAndChars" w:linePitch="636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right="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2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pacing w:line="100" w:lineRule="exact"/>
      <w:ind w:right="360" w:firstLine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kPadVh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QA+L8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96"/>
  <w:drawingGridVerticalSpacing w:val="318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1A"/>
    <w:rsid w:val="000000A7"/>
    <w:rsid w:val="00002F68"/>
    <w:rsid w:val="00007D75"/>
    <w:rsid w:val="00024A69"/>
    <w:rsid w:val="00046B61"/>
    <w:rsid w:val="000522D1"/>
    <w:rsid w:val="00085F6D"/>
    <w:rsid w:val="00095308"/>
    <w:rsid w:val="000D4B26"/>
    <w:rsid w:val="000F062E"/>
    <w:rsid w:val="000F67CB"/>
    <w:rsid w:val="00100732"/>
    <w:rsid w:val="00100C4E"/>
    <w:rsid w:val="00107E98"/>
    <w:rsid w:val="001110AB"/>
    <w:rsid w:val="00111F2F"/>
    <w:rsid w:val="00115D72"/>
    <w:rsid w:val="00121AAC"/>
    <w:rsid w:val="001237CF"/>
    <w:rsid w:val="00126B05"/>
    <w:rsid w:val="00131E5E"/>
    <w:rsid w:val="00152F41"/>
    <w:rsid w:val="0016015B"/>
    <w:rsid w:val="00160799"/>
    <w:rsid w:val="00166523"/>
    <w:rsid w:val="0017137E"/>
    <w:rsid w:val="001745CF"/>
    <w:rsid w:val="001766D7"/>
    <w:rsid w:val="0017680A"/>
    <w:rsid w:val="00180A07"/>
    <w:rsid w:val="00186E65"/>
    <w:rsid w:val="001A05A7"/>
    <w:rsid w:val="001A4391"/>
    <w:rsid w:val="001C0E65"/>
    <w:rsid w:val="001C7595"/>
    <w:rsid w:val="001F2E84"/>
    <w:rsid w:val="001F33CA"/>
    <w:rsid w:val="001F4533"/>
    <w:rsid w:val="001F4E1D"/>
    <w:rsid w:val="001F581A"/>
    <w:rsid w:val="001F6DF9"/>
    <w:rsid w:val="00206927"/>
    <w:rsid w:val="00212A33"/>
    <w:rsid w:val="00216AA5"/>
    <w:rsid w:val="002173AE"/>
    <w:rsid w:val="00237DA1"/>
    <w:rsid w:val="00240AAF"/>
    <w:rsid w:val="00242C7A"/>
    <w:rsid w:val="00246188"/>
    <w:rsid w:val="00263623"/>
    <w:rsid w:val="00264AFE"/>
    <w:rsid w:val="002669CC"/>
    <w:rsid w:val="00284EA7"/>
    <w:rsid w:val="002953B1"/>
    <w:rsid w:val="002A7BE3"/>
    <w:rsid w:val="002B64FE"/>
    <w:rsid w:val="002C284E"/>
    <w:rsid w:val="002C4524"/>
    <w:rsid w:val="002C7359"/>
    <w:rsid w:val="002D1062"/>
    <w:rsid w:val="002D13AE"/>
    <w:rsid w:val="002D6233"/>
    <w:rsid w:val="002E083A"/>
    <w:rsid w:val="002E404E"/>
    <w:rsid w:val="002E798C"/>
    <w:rsid w:val="002F35E5"/>
    <w:rsid w:val="002F570B"/>
    <w:rsid w:val="00300AB0"/>
    <w:rsid w:val="003178D4"/>
    <w:rsid w:val="00320059"/>
    <w:rsid w:val="00320A7B"/>
    <w:rsid w:val="00321FD1"/>
    <w:rsid w:val="0032374E"/>
    <w:rsid w:val="00324C07"/>
    <w:rsid w:val="00330480"/>
    <w:rsid w:val="0033147A"/>
    <w:rsid w:val="00344FFC"/>
    <w:rsid w:val="00345114"/>
    <w:rsid w:val="00346DF5"/>
    <w:rsid w:val="0035649E"/>
    <w:rsid w:val="0035780A"/>
    <w:rsid w:val="00360305"/>
    <w:rsid w:val="0036117B"/>
    <w:rsid w:val="00374DD6"/>
    <w:rsid w:val="003753C2"/>
    <w:rsid w:val="00380928"/>
    <w:rsid w:val="00380E83"/>
    <w:rsid w:val="00382A76"/>
    <w:rsid w:val="00391D16"/>
    <w:rsid w:val="0039400E"/>
    <w:rsid w:val="003A0981"/>
    <w:rsid w:val="003A5B49"/>
    <w:rsid w:val="003B52B6"/>
    <w:rsid w:val="003C2C80"/>
    <w:rsid w:val="003D1B3F"/>
    <w:rsid w:val="003E2FDA"/>
    <w:rsid w:val="003E7EC7"/>
    <w:rsid w:val="003F21BC"/>
    <w:rsid w:val="003F5CC7"/>
    <w:rsid w:val="00405111"/>
    <w:rsid w:val="00415020"/>
    <w:rsid w:val="00422B7E"/>
    <w:rsid w:val="00426598"/>
    <w:rsid w:val="00426755"/>
    <w:rsid w:val="004330D3"/>
    <w:rsid w:val="004405C3"/>
    <w:rsid w:val="00447D76"/>
    <w:rsid w:val="00450391"/>
    <w:rsid w:val="00457684"/>
    <w:rsid w:val="0046118C"/>
    <w:rsid w:val="00464C62"/>
    <w:rsid w:val="004911CE"/>
    <w:rsid w:val="00495475"/>
    <w:rsid w:val="004965CE"/>
    <w:rsid w:val="004B1700"/>
    <w:rsid w:val="004B750A"/>
    <w:rsid w:val="004C289E"/>
    <w:rsid w:val="004C3631"/>
    <w:rsid w:val="004D26C0"/>
    <w:rsid w:val="004D5AEA"/>
    <w:rsid w:val="00527C9A"/>
    <w:rsid w:val="00531619"/>
    <w:rsid w:val="00532FCD"/>
    <w:rsid w:val="00543BB6"/>
    <w:rsid w:val="00545813"/>
    <w:rsid w:val="0055024E"/>
    <w:rsid w:val="00551874"/>
    <w:rsid w:val="00560A51"/>
    <w:rsid w:val="00561059"/>
    <w:rsid w:val="005720B4"/>
    <w:rsid w:val="00583BC5"/>
    <w:rsid w:val="00585F5E"/>
    <w:rsid w:val="005874FB"/>
    <w:rsid w:val="0059155B"/>
    <w:rsid w:val="005A1D17"/>
    <w:rsid w:val="005A597D"/>
    <w:rsid w:val="005B4009"/>
    <w:rsid w:val="005B4F09"/>
    <w:rsid w:val="005B6FA4"/>
    <w:rsid w:val="005C2E75"/>
    <w:rsid w:val="005C5189"/>
    <w:rsid w:val="005D54DE"/>
    <w:rsid w:val="005E46A0"/>
    <w:rsid w:val="005E6A9B"/>
    <w:rsid w:val="005F0A0C"/>
    <w:rsid w:val="005F5CB6"/>
    <w:rsid w:val="005F6BC5"/>
    <w:rsid w:val="006222EE"/>
    <w:rsid w:val="0064073B"/>
    <w:rsid w:val="00642CE9"/>
    <w:rsid w:val="006548CF"/>
    <w:rsid w:val="006559F1"/>
    <w:rsid w:val="00657222"/>
    <w:rsid w:val="00677C1D"/>
    <w:rsid w:val="006871A3"/>
    <w:rsid w:val="00695B21"/>
    <w:rsid w:val="006B1345"/>
    <w:rsid w:val="006B1407"/>
    <w:rsid w:val="006C583F"/>
    <w:rsid w:val="006E3741"/>
    <w:rsid w:val="006E396F"/>
    <w:rsid w:val="006F53F0"/>
    <w:rsid w:val="00714A7C"/>
    <w:rsid w:val="00720EA0"/>
    <w:rsid w:val="00721168"/>
    <w:rsid w:val="0072118C"/>
    <w:rsid w:val="007214CE"/>
    <w:rsid w:val="00725F09"/>
    <w:rsid w:val="0073151A"/>
    <w:rsid w:val="007353C9"/>
    <w:rsid w:val="00736EB7"/>
    <w:rsid w:val="00756732"/>
    <w:rsid w:val="007615B2"/>
    <w:rsid w:val="007621B6"/>
    <w:rsid w:val="007640B0"/>
    <w:rsid w:val="0077464D"/>
    <w:rsid w:val="00775D00"/>
    <w:rsid w:val="007B10F4"/>
    <w:rsid w:val="007B2D83"/>
    <w:rsid w:val="007B30BD"/>
    <w:rsid w:val="007B3447"/>
    <w:rsid w:val="007D0C74"/>
    <w:rsid w:val="007D42DB"/>
    <w:rsid w:val="007D481D"/>
    <w:rsid w:val="0080431E"/>
    <w:rsid w:val="0080438F"/>
    <w:rsid w:val="0081452D"/>
    <w:rsid w:val="0081502E"/>
    <w:rsid w:val="00825B8E"/>
    <w:rsid w:val="00830F62"/>
    <w:rsid w:val="00842FA6"/>
    <w:rsid w:val="008468F7"/>
    <w:rsid w:val="00861DA9"/>
    <w:rsid w:val="00862564"/>
    <w:rsid w:val="00866F74"/>
    <w:rsid w:val="00882ED2"/>
    <w:rsid w:val="00893315"/>
    <w:rsid w:val="008A07C4"/>
    <w:rsid w:val="008A1E6C"/>
    <w:rsid w:val="008A20F3"/>
    <w:rsid w:val="008A2B47"/>
    <w:rsid w:val="008B3AC3"/>
    <w:rsid w:val="008E11CF"/>
    <w:rsid w:val="008E33E7"/>
    <w:rsid w:val="008E7752"/>
    <w:rsid w:val="008F71C3"/>
    <w:rsid w:val="00901AEF"/>
    <w:rsid w:val="00917DAE"/>
    <w:rsid w:val="00922080"/>
    <w:rsid w:val="00957F18"/>
    <w:rsid w:val="00957FFB"/>
    <w:rsid w:val="00961CF5"/>
    <w:rsid w:val="009634C8"/>
    <w:rsid w:val="00964952"/>
    <w:rsid w:val="00965C28"/>
    <w:rsid w:val="009700F5"/>
    <w:rsid w:val="0097316F"/>
    <w:rsid w:val="00981EC4"/>
    <w:rsid w:val="00983249"/>
    <w:rsid w:val="0099696D"/>
    <w:rsid w:val="009A16B3"/>
    <w:rsid w:val="009B2654"/>
    <w:rsid w:val="009B30AC"/>
    <w:rsid w:val="009B62F6"/>
    <w:rsid w:val="009C376A"/>
    <w:rsid w:val="009C6805"/>
    <w:rsid w:val="009D1CB7"/>
    <w:rsid w:val="00A06372"/>
    <w:rsid w:val="00A11FF9"/>
    <w:rsid w:val="00A15000"/>
    <w:rsid w:val="00A276E0"/>
    <w:rsid w:val="00A324DD"/>
    <w:rsid w:val="00A42703"/>
    <w:rsid w:val="00A441EB"/>
    <w:rsid w:val="00A51453"/>
    <w:rsid w:val="00A51E02"/>
    <w:rsid w:val="00A606EE"/>
    <w:rsid w:val="00A640FE"/>
    <w:rsid w:val="00A716CC"/>
    <w:rsid w:val="00A81321"/>
    <w:rsid w:val="00A82659"/>
    <w:rsid w:val="00A82DAD"/>
    <w:rsid w:val="00A837B6"/>
    <w:rsid w:val="00A870C4"/>
    <w:rsid w:val="00A9054E"/>
    <w:rsid w:val="00A91CE0"/>
    <w:rsid w:val="00AA3B36"/>
    <w:rsid w:val="00AB183B"/>
    <w:rsid w:val="00AB6B48"/>
    <w:rsid w:val="00AC289D"/>
    <w:rsid w:val="00AC35C1"/>
    <w:rsid w:val="00AD0618"/>
    <w:rsid w:val="00AD09AF"/>
    <w:rsid w:val="00AE1B9D"/>
    <w:rsid w:val="00AE31D3"/>
    <w:rsid w:val="00B01D47"/>
    <w:rsid w:val="00B10FBF"/>
    <w:rsid w:val="00B13A78"/>
    <w:rsid w:val="00B22FD7"/>
    <w:rsid w:val="00B36E98"/>
    <w:rsid w:val="00B5093F"/>
    <w:rsid w:val="00B6590B"/>
    <w:rsid w:val="00B744AE"/>
    <w:rsid w:val="00B769AF"/>
    <w:rsid w:val="00B77F4E"/>
    <w:rsid w:val="00B81849"/>
    <w:rsid w:val="00B87CD9"/>
    <w:rsid w:val="00B92693"/>
    <w:rsid w:val="00BA45CA"/>
    <w:rsid w:val="00BB1722"/>
    <w:rsid w:val="00BB4747"/>
    <w:rsid w:val="00BC1AD7"/>
    <w:rsid w:val="00BD18D1"/>
    <w:rsid w:val="00BE7B69"/>
    <w:rsid w:val="00BF0237"/>
    <w:rsid w:val="00BF27BF"/>
    <w:rsid w:val="00BF2A79"/>
    <w:rsid w:val="00BF4D7B"/>
    <w:rsid w:val="00C0217D"/>
    <w:rsid w:val="00C11C8F"/>
    <w:rsid w:val="00C13B06"/>
    <w:rsid w:val="00C20237"/>
    <w:rsid w:val="00C2080D"/>
    <w:rsid w:val="00C3461C"/>
    <w:rsid w:val="00C42DBA"/>
    <w:rsid w:val="00C4360E"/>
    <w:rsid w:val="00C451F7"/>
    <w:rsid w:val="00C579F1"/>
    <w:rsid w:val="00C93B55"/>
    <w:rsid w:val="00CB1F89"/>
    <w:rsid w:val="00CB4322"/>
    <w:rsid w:val="00CB7A44"/>
    <w:rsid w:val="00CC02C6"/>
    <w:rsid w:val="00D00CA9"/>
    <w:rsid w:val="00D12CDE"/>
    <w:rsid w:val="00D2088B"/>
    <w:rsid w:val="00D23608"/>
    <w:rsid w:val="00D279EC"/>
    <w:rsid w:val="00D5337E"/>
    <w:rsid w:val="00D77906"/>
    <w:rsid w:val="00D8047C"/>
    <w:rsid w:val="00D873E6"/>
    <w:rsid w:val="00D910F1"/>
    <w:rsid w:val="00DB345F"/>
    <w:rsid w:val="00DB6C37"/>
    <w:rsid w:val="00DB7415"/>
    <w:rsid w:val="00DC3B2A"/>
    <w:rsid w:val="00DD70D2"/>
    <w:rsid w:val="00DD743B"/>
    <w:rsid w:val="00DE39EC"/>
    <w:rsid w:val="00DE67D3"/>
    <w:rsid w:val="00DE7A65"/>
    <w:rsid w:val="00E0303D"/>
    <w:rsid w:val="00E05995"/>
    <w:rsid w:val="00E202A4"/>
    <w:rsid w:val="00E20C9A"/>
    <w:rsid w:val="00E2545B"/>
    <w:rsid w:val="00E4543A"/>
    <w:rsid w:val="00E46B5E"/>
    <w:rsid w:val="00E5114D"/>
    <w:rsid w:val="00E551B8"/>
    <w:rsid w:val="00E55894"/>
    <w:rsid w:val="00E5598D"/>
    <w:rsid w:val="00E6116D"/>
    <w:rsid w:val="00E6431C"/>
    <w:rsid w:val="00E64C91"/>
    <w:rsid w:val="00E7395C"/>
    <w:rsid w:val="00E80659"/>
    <w:rsid w:val="00E80B41"/>
    <w:rsid w:val="00E86659"/>
    <w:rsid w:val="00E94715"/>
    <w:rsid w:val="00E974FF"/>
    <w:rsid w:val="00EA29E1"/>
    <w:rsid w:val="00EA487E"/>
    <w:rsid w:val="00EB0A84"/>
    <w:rsid w:val="00EB2C93"/>
    <w:rsid w:val="00EC5B46"/>
    <w:rsid w:val="00ED7E05"/>
    <w:rsid w:val="00EE3199"/>
    <w:rsid w:val="00EE3E70"/>
    <w:rsid w:val="00F029BA"/>
    <w:rsid w:val="00F072FD"/>
    <w:rsid w:val="00F40121"/>
    <w:rsid w:val="00F45B79"/>
    <w:rsid w:val="00F5367C"/>
    <w:rsid w:val="00F61321"/>
    <w:rsid w:val="00F7260F"/>
    <w:rsid w:val="00F762A1"/>
    <w:rsid w:val="00F77CAC"/>
    <w:rsid w:val="00F81B59"/>
    <w:rsid w:val="00F84C21"/>
    <w:rsid w:val="00F86262"/>
    <w:rsid w:val="00F87AEB"/>
    <w:rsid w:val="00F921C3"/>
    <w:rsid w:val="00F97090"/>
    <w:rsid w:val="00FA7195"/>
    <w:rsid w:val="00FB31B4"/>
    <w:rsid w:val="00FB4449"/>
    <w:rsid w:val="00FC10AE"/>
    <w:rsid w:val="00FC4A4B"/>
    <w:rsid w:val="00FC55ED"/>
    <w:rsid w:val="00FE3BE6"/>
    <w:rsid w:val="00FE50AD"/>
    <w:rsid w:val="00FF37AD"/>
    <w:rsid w:val="00FF3A3B"/>
    <w:rsid w:val="00FF6679"/>
    <w:rsid w:val="01112B79"/>
    <w:rsid w:val="01B454D6"/>
    <w:rsid w:val="02350A58"/>
    <w:rsid w:val="02B14E85"/>
    <w:rsid w:val="03885668"/>
    <w:rsid w:val="03F55FF3"/>
    <w:rsid w:val="042156E0"/>
    <w:rsid w:val="04CD021F"/>
    <w:rsid w:val="04ED4AEF"/>
    <w:rsid w:val="05A7102F"/>
    <w:rsid w:val="05A7471C"/>
    <w:rsid w:val="05CA732A"/>
    <w:rsid w:val="06E56431"/>
    <w:rsid w:val="076D5637"/>
    <w:rsid w:val="076E1463"/>
    <w:rsid w:val="07987CB6"/>
    <w:rsid w:val="07A72141"/>
    <w:rsid w:val="07EF564E"/>
    <w:rsid w:val="08042FE7"/>
    <w:rsid w:val="081417DD"/>
    <w:rsid w:val="084761E1"/>
    <w:rsid w:val="08743298"/>
    <w:rsid w:val="088657FE"/>
    <w:rsid w:val="08BB62AB"/>
    <w:rsid w:val="090767EC"/>
    <w:rsid w:val="09F169DB"/>
    <w:rsid w:val="0A0243A4"/>
    <w:rsid w:val="0A165006"/>
    <w:rsid w:val="0B870974"/>
    <w:rsid w:val="0C580E6F"/>
    <w:rsid w:val="0CC12E4C"/>
    <w:rsid w:val="0D9D771C"/>
    <w:rsid w:val="0E041B37"/>
    <w:rsid w:val="0E5A6DCB"/>
    <w:rsid w:val="0ED75C53"/>
    <w:rsid w:val="0EEB6F53"/>
    <w:rsid w:val="0F22195A"/>
    <w:rsid w:val="0F285A8C"/>
    <w:rsid w:val="0F3A7AC8"/>
    <w:rsid w:val="0F57CC3D"/>
    <w:rsid w:val="0FBF89EC"/>
    <w:rsid w:val="0FCF6603"/>
    <w:rsid w:val="0FF76A15"/>
    <w:rsid w:val="10084205"/>
    <w:rsid w:val="101A07DE"/>
    <w:rsid w:val="10251ABE"/>
    <w:rsid w:val="1032163B"/>
    <w:rsid w:val="103FCB37"/>
    <w:rsid w:val="104BC716"/>
    <w:rsid w:val="10512217"/>
    <w:rsid w:val="11AE706E"/>
    <w:rsid w:val="11B41298"/>
    <w:rsid w:val="129044C9"/>
    <w:rsid w:val="12FFF3FC"/>
    <w:rsid w:val="130B66F4"/>
    <w:rsid w:val="137754D6"/>
    <w:rsid w:val="13DD7FDB"/>
    <w:rsid w:val="14077624"/>
    <w:rsid w:val="14261DFD"/>
    <w:rsid w:val="1461623C"/>
    <w:rsid w:val="1499561F"/>
    <w:rsid w:val="151E5D8C"/>
    <w:rsid w:val="15243ABD"/>
    <w:rsid w:val="15370088"/>
    <w:rsid w:val="159044CD"/>
    <w:rsid w:val="159F4996"/>
    <w:rsid w:val="15BA64E2"/>
    <w:rsid w:val="15EF348E"/>
    <w:rsid w:val="165E2874"/>
    <w:rsid w:val="168727FA"/>
    <w:rsid w:val="16880AD5"/>
    <w:rsid w:val="18AF07D3"/>
    <w:rsid w:val="18DC0FD0"/>
    <w:rsid w:val="197924CF"/>
    <w:rsid w:val="19EE404E"/>
    <w:rsid w:val="1A755579"/>
    <w:rsid w:val="1A981DA4"/>
    <w:rsid w:val="1B512BFC"/>
    <w:rsid w:val="1B9C68AE"/>
    <w:rsid w:val="1BEFADB0"/>
    <w:rsid w:val="1D7529DE"/>
    <w:rsid w:val="1DDD6027"/>
    <w:rsid w:val="1E762B8D"/>
    <w:rsid w:val="1EBD9620"/>
    <w:rsid w:val="1EFF36B5"/>
    <w:rsid w:val="1F922355"/>
    <w:rsid w:val="1F9554D9"/>
    <w:rsid w:val="1FFD4E78"/>
    <w:rsid w:val="210E08D9"/>
    <w:rsid w:val="21356A6C"/>
    <w:rsid w:val="21D36F5A"/>
    <w:rsid w:val="22C6025F"/>
    <w:rsid w:val="23AC1D11"/>
    <w:rsid w:val="23F57DA0"/>
    <w:rsid w:val="24AF6D39"/>
    <w:rsid w:val="256C36E5"/>
    <w:rsid w:val="264C257C"/>
    <w:rsid w:val="2677699E"/>
    <w:rsid w:val="26A31B9D"/>
    <w:rsid w:val="273D13CB"/>
    <w:rsid w:val="274C37CC"/>
    <w:rsid w:val="277354A8"/>
    <w:rsid w:val="27892BC8"/>
    <w:rsid w:val="27DFDBD9"/>
    <w:rsid w:val="286520A5"/>
    <w:rsid w:val="286F7091"/>
    <w:rsid w:val="28B77C6F"/>
    <w:rsid w:val="28DD0F4A"/>
    <w:rsid w:val="28F055AD"/>
    <w:rsid w:val="29832216"/>
    <w:rsid w:val="29EC7AE1"/>
    <w:rsid w:val="2AA779D5"/>
    <w:rsid w:val="2AC93445"/>
    <w:rsid w:val="2B0F5617"/>
    <w:rsid w:val="2B6D13B5"/>
    <w:rsid w:val="2BACE655"/>
    <w:rsid w:val="2BBE7A2D"/>
    <w:rsid w:val="2BFDA583"/>
    <w:rsid w:val="2C4C7385"/>
    <w:rsid w:val="2C7E5B5D"/>
    <w:rsid w:val="2D1762E1"/>
    <w:rsid w:val="2DEC42CB"/>
    <w:rsid w:val="2E266818"/>
    <w:rsid w:val="2F0634F5"/>
    <w:rsid w:val="2F9D3C09"/>
    <w:rsid w:val="2FB54FF2"/>
    <w:rsid w:val="2FCFD45F"/>
    <w:rsid w:val="2FD72752"/>
    <w:rsid w:val="2FE53B18"/>
    <w:rsid w:val="2FFB26B6"/>
    <w:rsid w:val="2FFFA1E7"/>
    <w:rsid w:val="31411A4D"/>
    <w:rsid w:val="316E33CB"/>
    <w:rsid w:val="31BBC10C"/>
    <w:rsid w:val="329F8172"/>
    <w:rsid w:val="3304358E"/>
    <w:rsid w:val="33A0547D"/>
    <w:rsid w:val="33BC3CD4"/>
    <w:rsid w:val="33CC2F8F"/>
    <w:rsid w:val="34AC102F"/>
    <w:rsid w:val="34C33296"/>
    <w:rsid w:val="34C8629B"/>
    <w:rsid w:val="35512DED"/>
    <w:rsid w:val="3579E871"/>
    <w:rsid w:val="362727D3"/>
    <w:rsid w:val="3737FFD1"/>
    <w:rsid w:val="37382DAC"/>
    <w:rsid w:val="37DD31AE"/>
    <w:rsid w:val="37FD3D51"/>
    <w:rsid w:val="37FDD649"/>
    <w:rsid w:val="38FB3E25"/>
    <w:rsid w:val="39A406F9"/>
    <w:rsid w:val="3A3F205C"/>
    <w:rsid w:val="3B0A5968"/>
    <w:rsid w:val="3B213474"/>
    <w:rsid w:val="3B8E5ACC"/>
    <w:rsid w:val="3BCF0D1E"/>
    <w:rsid w:val="3C9EC4A4"/>
    <w:rsid w:val="3CBE2BDB"/>
    <w:rsid w:val="3D161CDA"/>
    <w:rsid w:val="3D9B1471"/>
    <w:rsid w:val="3DA07948"/>
    <w:rsid w:val="3DBDA0EB"/>
    <w:rsid w:val="3DEF1D31"/>
    <w:rsid w:val="3DFF03BA"/>
    <w:rsid w:val="3DFF3C68"/>
    <w:rsid w:val="3E6FF40F"/>
    <w:rsid w:val="3E7FBD9A"/>
    <w:rsid w:val="3EF15117"/>
    <w:rsid w:val="3EF9F8B3"/>
    <w:rsid w:val="3F3DF2A0"/>
    <w:rsid w:val="3F455A41"/>
    <w:rsid w:val="3F5DCB34"/>
    <w:rsid w:val="3F6C7AE1"/>
    <w:rsid w:val="3F75396C"/>
    <w:rsid w:val="3F76C568"/>
    <w:rsid w:val="3F8E7879"/>
    <w:rsid w:val="3F9DE0F7"/>
    <w:rsid w:val="3FC7B083"/>
    <w:rsid w:val="3FDA1722"/>
    <w:rsid w:val="3FE31718"/>
    <w:rsid w:val="3FEB6125"/>
    <w:rsid w:val="3FF49E50"/>
    <w:rsid w:val="3FF63386"/>
    <w:rsid w:val="3FFE46E7"/>
    <w:rsid w:val="40566BFA"/>
    <w:rsid w:val="40823F27"/>
    <w:rsid w:val="40FD6D0C"/>
    <w:rsid w:val="410B3DC7"/>
    <w:rsid w:val="43754323"/>
    <w:rsid w:val="439A6055"/>
    <w:rsid w:val="43DF6094"/>
    <w:rsid w:val="44900227"/>
    <w:rsid w:val="44A42DC2"/>
    <w:rsid w:val="459C45A3"/>
    <w:rsid w:val="45A61440"/>
    <w:rsid w:val="465F6558"/>
    <w:rsid w:val="46DB02DD"/>
    <w:rsid w:val="47403C3F"/>
    <w:rsid w:val="476B39ED"/>
    <w:rsid w:val="482F3EC1"/>
    <w:rsid w:val="48F50739"/>
    <w:rsid w:val="49D02628"/>
    <w:rsid w:val="4A267051"/>
    <w:rsid w:val="4AF66235"/>
    <w:rsid w:val="4B0A0EDC"/>
    <w:rsid w:val="4C2B3C8B"/>
    <w:rsid w:val="4CA80E8E"/>
    <w:rsid w:val="4CD75B12"/>
    <w:rsid w:val="4DB73FB5"/>
    <w:rsid w:val="4DFF1931"/>
    <w:rsid w:val="4E3F4177"/>
    <w:rsid w:val="4F14442C"/>
    <w:rsid w:val="4F831977"/>
    <w:rsid w:val="4FC0544E"/>
    <w:rsid w:val="4FD298C7"/>
    <w:rsid w:val="4FF70A9C"/>
    <w:rsid w:val="4FFAA5F5"/>
    <w:rsid w:val="50943AAF"/>
    <w:rsid w:val="527F7313"/>
    <w:rsid w:val="528112CA"/>
    <w:rsid w:val="52AA4958"/>
    <w:rsid w:val="53687AB1"/>
    <w:rsid w:val="53AA73DB"/>
    <w:rsid w:val="53AF438D"/>
    <w:rsid w:val="54BD731F"/>
    <w:rsid w:val="553C22D9"/>
    <w:rsid w:val="554155E5"/>
    <w:rsid w:val="555A3C4A"/>
    <w:rsid w:val="557F834C"/>
    <w:rsid w:val="559B6530"/>
    <w:rsid w:val="55FD9379"/>
    <w:rsid w:val="55FECFD2"/>
    <w:rsid w:val="567D7BDC"/>
    <w:rsid w:val="56D72200"/>
    <w:rsid w:val="56DFE86C"/>
    <w:rsid w:val="56EF435F"/>
    <w:rsid w:val="57713E3F"/>
    <w:rsid w:val="57B108D5"/>
    <w:rsid w:val="57FBEA27"/>
    <w:rsid w:val="580B3C9A"/>
    <w:rsid w:val="58B1675F"/>
    <w:rsid w:val="591C1660"/>
    <w:rsid w:val="59776A15"/>
    <w:rsid w:val="5A5B47FB"/>
    <w:rsid w:val="5ACC3470"/>
    <w:rsid w:val="5AE6095D"/>
    <w:rsid w:val="5AEB2513"/>
    <w:rsid w:val="5B8A6EEB"/>
    <w:rsid w:val="5BFDD84A"/>
    <w:rsid w:val="5CE4533F"/>
    <w:rsid w:val="5D917835"/>
    <w:rsid w:val="5DECE709"/>
    <w:rsid w:val="5DF731D0"/>
    <w:rsid w:val="5DFEBA49"/>
    <w:rsid w:val="5E127EAD"/>
    <w:rsid w:val="5EDF74B3"/>
    <w:rsid w:val="5EE1DDC2"/>
    <w:rsid w:val="5EEB06D4"/>
    <w:rsid w:val="5EF52A12"/>
    <w:rsid w:val="5F347FC8"/>
    <w:rsid w:val="5FA67E3E"/>
    <w:rsid w:val="5FAF0369"/>
    <w:rsid w:val="5FDD3C69"/>
    <w:rsid w:val="5FDE1FE9"/>
    <w:rsid w:val="5FDF7040"/>
    <w:rsid w:val="5FF7B3D8"/>
    <w:rsid w:val="5FFE0D7A"/>
    <w:rsid w:val="5FFF574A"/>
    <w:rsid w:val="5FFF88D9"/>
    <w:rsid w:val="60065A3F"/>
    <w:rsid w:val="608F0E74"/>
    <w:rsid w:val="60E219B4"/>
    <w:rsid w:val="61216F6F"/>
    <w:rsid w:val="63BC6F6C"/>
    <w:rsid w:val="63FFFD21"/>
    <w:rsid w:val="65285BC9"/>
    <w:rsid w:val="656E7826"/>
    <w:rsid w:val="65743897"/>
    <w:rsid w:val="65D77B5A"/>
    <w:rsid w:val="65FA0551"/>
    <w:rsid w:val="665DE301"/>
    <w:rsid w:val="667D018C"/>
    <w:rsid w:val="673F18A1"/>
    <w:rsid w:val="674E337E"/>
    <w:rsid w:val="67817D49"/>
    <w:rsid w:val="67BD74C3"/>
    <w:rsid w:val="695E70B8"/>
    <w:rsid w:val="6AB31007"/>
    <w:rsid w:val="6ABE720A"/>
    <w:rsid w:val="6AFED201"/>
    <w:rsid w:val="6B322323"/>
    <w:rsid w:val="6B7F579C"/>
    <w:rsid w:val="6B8E7960"/>
    <w:rsid w:val="6B8EEA76"/>
    <w:rsid w:val="6BDF846E"/>
    <w:rsid w:val="6BEB81AF"/>
    <w:rsid w:val="6BF70DE0"/>
    <w:rsid w:val="6C33621E"/>
    <w:rsid w:val="6C722CD0"/>
    <w:rsid w:val="6D052E55"/>
    <w:rsid w:val="6DDF8F23"/>
    <w:rsid w:val="6DFF451A"/>
    <w:rsid w:val="6E3F0715"/>
    <w:rsid w:val="6E4208BC"/>
    <w:rsid w:val="6E5FD58E"/>
    <w:rsid w:val="6E8BBF63"/>
    <w:rsid w:val="6E9F66F5"/>
    <w:rsid w:val="6EEC9FA6"/>
    <w:rsid w:val="6F6D7769"/>
    <w:rsid w:val="6F7F03D2"/>
    <w:rsid w:val="6FB1C5EE"/>
    <w:rsid w:val="6FBEED3E"/>
    <w:rsid w:val="6FBF7133"/>
    <w:rsid w:val="6FD759F9"/>
    <w:rsid w:val="6FDDF340"/>
    <w:rsid w:val="6FF11CD4"/>
    <w:rsid w:val="6FF2EB71"/>
    <w:rsid w:val="6FFBA410"/>
    <w:rsid w:val="6FFBFEF8"/>
    <w:rsid w:val="6FFE2D7C"/>
    <w:rsid w:val="6FFEE8D1"/>
    <w:rsid w:val="70961B5B"/>
    <w:rsid w:val="70B712E7"/>
    <w:rsid w:val="70DD6A9D"/>
    <w:rsid w:val="71573B05"/>
    <w:rsid w:val="716E3DCA"/>
    <w:rsid w:val="717D71D5"/>
    <w:rsid w:val="7272E9AA"/>
    <w:rsid w:val="73BA0D24"/>
    <w:rsid w:val="73BEC827"/>
    <w:rsid w:val="73E38E97"/>
    <w:rsid w:val="748771A7"/>
    <w:rsid w:val="751A42A8"/>
    <w:rsid w:val="75AE4B18"/>
    <w:rsid w:val="75FF21BF"/>
    <w:rsid w:val="75FFF529"/>
    <w:rsid w:val="76653E3B"/>
    <w:rsid w:val="766F1831"/>
    <w:rsid w:val="7696163D"/>
    <w:rsid w:val="76B415D8"/>
    <w:rsid w:val="76DA410A"/>
    <w:rsid w:val="76E4462A"/>
    <w:rsid w:val="76FE0129"/>
    <w:rsid w:val="770E7210"/>
    <w:rsid w:val="776EA41D"/>
    <w:rsid w:val="77A8015A"/>
    <w:rsid w:val="77BFAD78"/>
    <w:rsid w:val="77C64699"/>
    <w:rsid w:val="77C7B842"/>
    <w:rsid w:val="77D20DF6"/>
    <w:rsid w:val="77DD832B"/>
    <w:rsid w:val="77EA353B"/>
    <w:rsid w:val="77EE94DA"/>
    <w:rsid w:val="77F7AE0B"/>
    <w:rsid w:val="77FD4161"/>
    <w:rsid w:val="78342C8D"/>
    <w:rsid w:val="78597821"/>
    <w:rsid w:val="787BC715"/>
    <w:rsid w:val="78B11F4A"/>
    <w:rsid w:val="78F9828E"/>
    <w:rsid w:val="78FD6523"/>
    <w:rsid w:val="797D8E38"/>
    <w:rsid w:val="797E5DFE"/>
    <w:rsid w:val="799FAD84"/>
    <w:rsid w:val="79AF6D7C"/>
    <w:rsid w:val="7A752F25"/>
    <w:rsid w:val="7A7FA5AD"/>
    <w:rsid w:val="7AA118FB"/>
    <w:rsid w:val="7B5D717A"/>
    <w:rsid w:val="7B8B24CE"/>
    <w:rsid w:val="7B9DE876"/>
    <w:rsid w:val="7B9FC6B5"/>
    <w:rsid w:val="7BA44ACB"/>
    <w:rsid w:val="7BB99DDB"/>
    <w:rsid w:val="7BBD1D62"/>
    <w:rsid w:val="7BD78A09"/>
    <w:rsid w:val="7BEE5D5D"/>
    <w:rsid w:val="7BFF4A81"/>
    <w:rsid w:val="7BFF6F39"/>
    <w:rsid w:val="7BFF7A22"/>
    <w:rsid w:val="7C124F93"/>
    <w:rsid w:val="7C358AD9"/>
    <w:rsid w:val="7C9A1B55"/>
    <w:rsid w:val="7CDB237A"/>
    <w:rsid w:val="7CEF3D74"/>
    <w:rsid w:val="7CEFBAFC"/>
    <w:rsid w:val="7D4DB108"/>
    <w:rsid w:val="7D505CE9"/>
    <w:rsid w:val="7D7F2377"/>
    <w:rsid w:val="7DDF7C57"/>
    <w:rsid w:val="7DED17A3"/>
    <w:rsid w:val="7DF7668E"/>
    <w:rsid w:val="7DF79FDB"/>
    <w:rsid w:val="7DFB36D0"/>
    <w:rsid w:val="7DFFB296"/>
    <w:rsid w:val="7E0773B8"/>
    <w:rsid w:val="7E1B2F1F"/>
    <w:rsid w:val="7E3924A8"/>
    <w:rsid w:val="7E69A41F"/>
    <w:rsid w:val="7E8B5BF1"/>
    <w:rsid w:val="7E992567"/>
    <w:rsid w:val="7E9F14FC"/>
    <w:rsid w:val="7EC33E0D"/>
    <w:rsid w:val="7EEF051E"/>
    <w:rsid w:val="7EF724DC"/>
    <w:rsid w:val="7EFFD6C4"/>
    <w:rsid w:val="7F1FB3CF"/>
    <w:rsid w:val="7F47ABD5"/>
    <w:rsid w:val="7F51EDA9"/>
    <w:rsid w:val="7F5CE777"/>
    <w:rsid w:val="7F6B0B3C"/>
    <w:rsid w:val="7F745265"/>
    <w:rsid w:val="7F7B62B4"/>
    <w:rsid w:val="7F7F2F8D"/>
    <w:rsid w:val="7F975E72"/>
    <w:rsid w:val="7F9DD3FF"/>
    <w:rsid w:val="7F9FEC5E"/>
    <w:rsid w:val="7FA747D8"/>
    <w:rsid w:val="7FB7CDB7"/>
    <w:rsid w:val="7FBA686C"/>
    <w:rsid w:val="7FBBFB6F"/>
    <w:rsid w:val="7FBD37F1"/>
    <w:rsid w:val="7FBF454C"/>
    <w:rsid w:val="7FCD3DC0"/>
    <w:rsid w:val="7FCF9A07"/>
    <w:rsid w:val="7FCFACB9"/>
    <w:rsid w:val="7FD3C855"/>
    <w:rsid w:val="7FD74017"/>
    <w:rsid w:val="7FDDF767"/>
    <w:rsid w:val="7FDF6E6E"/>
    <w:rsid w:val="7FEFE633"/>
    <w:rsid w:val="7FF5D8EF"/>
    <w:rsid w:val="7FF96471"/>
    <w:rsid w:val="7FFB29B1"/>
    <w:rsid w:val="7FFC2368"/>
    <w:rsid w:val="7FFC716A"/>
    <w:rsid w:val="7FFE2ED0"/>
    <w:rsid w:val="7FFE3589"/>
    <w:rsid w:val="7FFFC58B"/>
    <w:rsid w:val="85FCEE1F"/>
    <w:rsid w:val="87F58E91"/>
    <w:rsid w:val="89FE5E38"/>
    <w:rsid w:val="8F6D60EF"/>
    <w:rsid w:val="8F7EC268"/>
    <w:rsid w:val="8FFFC945"/>
    <w:rsid w:val="969D6845"/>
    <w:rsid w:val="97BF2A70"/>
    <w:rsid w:val="9BEF34C8"/>
    <w:rsid w:val="9EA38B19"/>
    <w:rsid w:val="9FBF7220"/>
    <w:rsid w:val="9FDF2B94"/>
    <w:rsid w:val="A3F5459F"/>
    <w:rsid w:val="A5E7D4A3"/>
    <w:rsid w:val="A5FF6478"/>
    <w:rsid w:val="A6FF3984"/>
    <w:rsid w:val="A7DFD2DF"/>
    <w:rsid w:val="A7EDD6E1"/>
    <w:rsid w:val="A7F50C4A"/>
    <w:rsid w:val="AAFD3EB1"/>
    <w:rsid w:val="ABF7E6DE"/>
    <w:rsid w:val="AEEFCA6F"/>
    <w:rsid w:val="B4C95562"/>
    <w:rsid w:val="B65BD734"/>
    <w:rsid w:val="B67D3E65"/>
    <w:rsid w:val="B7F7214C"/>
    <w:rsid w:val="B7FD72BF"/>
    <w:rsid w:val="B7FDFF65"/>
    <w:rsid w:val="B9FFD734"/>
    <w:rsid w:val="BACF79DC"/>
    <w:rsid w:val="BAE3B908"/>
    <w:rsid w:val="BAFD943A"/>
    <w:rsid w:val="BBE69B3F"/>
    <w:rsid w:val="BBFB9136"/>
    <w:rsid w:val="BC77D4F3"/>
    <w:rsid w:val="BCBC1B5E"/>
    <w:rsid w:val="BDDFF1B2"/>
    <w:rsid w:val="BDEF6252"/>
    <w:rsid w:val="BDFE5526"/>
    <w:rsid w:val="BE373B8C"/>
    <w:rsid w:val="BE7FC8B3"/>
    <w:rsid w:val="BEFE5239"/>
    <w:rsid w:val="BEFFFEDC"/>
    <w:rsid w:val="BF3EF394"/>
    <w:rsid w:val="BF71AD12"/>
    <w:rsid w:val="BF76AF45"/>
    <w:rsid w:val="BF7B08DA"/>
    <w:rsid w:val="BF7F4D64"/>
    <w:rsid w:val="BFBB4CFF"/>
    <w:rsid w:val="BFBE3C2C"/>
    <w:rsid w:val="BFDF523D"/>
    <w:rsid w:val="BFFDB197"/>
    <w:rsid w:val="BFFE7966"/>
    <w:rsid w:val="BFFFE9C0"/>
    <w:rsid w:val="C39FC6F9"/>
    <w:rsid w:val="C7DEED05"/>
    <w:rsid w:val="CB531923"/>
    <w:rsid w:val="CCFF5D7A"/>
    <w:rsid w:val="CD955A4F"/>
    <w:rsid w:val="CE9BBD2C"/>
    <w:rsid w:val="CF83EFBE"/>
    <w:rsid w:val="CFEF4CE0"/>
    <w:rsid w:val="CFFB69C5"/>
    <w:rsid w:val="CFFD0726"/>
    <w:rsid w:val="CFFF8924"/>
    <w:rsid w:val="D17D9579"/>
    <w:rsid w:val="D1B3FD58"/>
    <w:rsid w:val="D7BFBA48"/>
    <w:rsid w:val="D7DF7721"/>
    <w:rsid w:val="D7E47B0F"/>
    <w:rsid w:val="D7EBFFF4"/>
    <w:rsid w:val="D96795F8"/>
    <w:rsid w:val="D97E9B1D"/>
    <w:rsid w:val="DB585F12"/>
    <w:rsid w:val="DBDF5242"/>
    <w:rsid w:val="DBF75584"/>
    <w:rsid w:val="DBFDBD7E"/>
    <w:rsid w:val="DCFDA8CE"/>
    <w:rsid w:val="DD1B6080"/>
    <w:rsid w:val="DD2EBB58"/>
    <w:rsid w:val="DD7D768F"/>
    <w:rsid w:val="DDAF5563"/>
    <w:rsid w:val="DDDF3085"/>
    <w:rsid w:val="DE2D6370"/>
    <w:rsid w:val="DE455609"/>
    <w:rsid w:val="DEC30A30"/>
    <w:rsid w:val="DEF54F13"/>
    <w:rsid w:val="DF7F2545"/>
    <w:rsid w:val="DFB2118B"/>
    <w:rsid w:val="DFB78ED4"/>
    <w:rsid w:val="DFB7B931"/>
    <w:rsid w:val="DFBEC4A9"/>
    <w:rsid w:val="DFEAED02"/>
    <w:rsid w:val="DFEC769C"/>
    <w:rsid w:val="DFF52B0E"/>
    <w:rsid w:val="DFFE0E32"/>
    <w:rsid w:val="DFFE74A9"/>
    <w:rsid w:val="E34EE1F6"/>
    <w:rsid w:val="E3F9334E"/>
    <w:rsid w:val="E61F53AF"/>
    <w:rsid w:val="E6B7CEA7"/>
    <w:rsid w:val="E6DFAB70"/>
    <w:rsid w:val="E7FD942D"/>
    <w:rsid w:val="EADF4F02"/>
    <w:rsid w:val="EAFFE9F3"/>
    <w:rsid w:val="EB472322"/>
    <w:rsid w:val="EBE736C9"/>
    <w:rsid w:val="EBED1CB7"/>
    <w:rsid w:val="EBEFC51A"/>
    <w:rsid w:val="EBFFBCEE"/>
    <w:rsid w:val="ECFF3E99"/>
    <w:rsid w:val="EDFD7912"/>
    <w:rsid w:val="EF4E6739"/>
    <w:rsid w:val="EF6E41D1"/>
    <w:rsid w:val="EF77B655"/>
    <w:rsid w:val="EF7B2C99"/>
    <w:rsid w:val="EFDFF619"/>
    <w:rsid w:val="EFEBBCA3"/>
    <w:rsid w:val="EFF5CBDA"/>
    <w:rsid w:val="EFF63F63"/>
    <w:rsid w:val="EFFC1A88"/>
    <w:rsid w:val="EFFCB01E"/>
    <w:rsid w:val="EFFD84D4"/>
    <w:rsid w:val="EFFEE10F"/>
    <w:rsid w:val="F2185DEE"/>
    <w:rsid w:val="F2AE1439"/>
    <w:rsid w:val="F2FF193E"/>
    <w:rsid w:val="F35D54A9"/>
    <w:rsid w:val="F3CB22CC"/>
    <w:rsid w:val="F57B8414"/>
    <w:rsid w:val="F5BBD76C"/>
    <w:rsid w:val="F6702E5E"/>
    <w:rsid w:val="F6FB303E"/>
    <w:rsid w:val="F6FD2236"/>
    <w:rsid w:val="F73F2D53"/>
    <w:rsid w:val="F75F116A"/>
    <w:rsid w:val="F771A8B9"/>
    <w:rsid w:val="F79FA58E"/>
    <w:rsid w:val="F7D7A135"/>
    <w:rsid w:val="F7E77F3F"/>
    <w:rsid w:val="F7E795FD"/>
    <w:rsid w:val="F7E96CD3"/>
    <w:rsid w:val="F7F56B9E"/>
    <w:rsid w:val="F7FFFB09"/>
    <w:rsid w:val="F89F7B35"/>
    <w:rsid w:val="F8ADFDCA"/>
    <w:rsid w:val="F8E8A3C2"/>
    <w:rsid w:val="F93E4DBA"/>
    <w:rsid w:val="F9DC3F67"/>
    <w:rsid w:val="F9F7D4A2"/>
    <w:rsid w:val="FADFBE38"/>
    <w:rsid w:val="FB3DCC80"/>
    <w:rsid w:val="FB5692A4"/>
    <w:rsid w:val="FB6FC025"/>
    <w:rsid w:val="FBEF0448"/>
    <w:rsid w:val="FBF5B204"/>
    <w:rsid w:val="FBF91BA8"/>
    <w:rsid w:val="FBFCB542"/>
    <w:rsid w:val="FBFFE759"/>
    <w:rsid w:val="FC5D0AC8"/>
    <w:rsid w:val="FC9EAF9E"/>
    <w:rsid w:val="FCE69B03"/>
    <w:rsid w:val="FCEF999A"/>
    <w:rsid w:val="FCF76A10"/>
    <w:rsid w:val="FD3F4D69"/>
    <w:rsid w:val="FD6B5C05"/>
    <w:rsid w:val="FDBD8C17"/>
    <w:rsid w:val="FDDE76A1"/>
    <w:rsid w:val="FDDFD4E0"/>
    <w:rsid w:val="FDEFE6BE"/>
    <w:rsid w:val="FDF77AC8"/>
    <w:rsid w:val="FDF96772"/>
    <w:rsid w:val="FDFFBAB2"/>
    <w:rsid w:val="FE3B5B7D"/>
    <w:rsid w:val="FE79E4CD"/>
    <w:rsid w:val="FEBFCEFB"/>
    <w:rsid w:val="FECB449A"/>
    <w:rsid w:val="FEEB0784"/>
    <w:rsid w:val="FEEF4CE2"/>
    <w:rsid w:val="FEFFAEEA"/>
    <w:rsid w:val="FF3989F2"/>
    <w:rsid w:val="FF3B3F9D"/>
    <w:rsid w:val="FF77A1CF"/>
    <w:rsid w:val="FF7F1A65"/>
    <w:rsid w:val="FF9FEF1D"/>
    <w:rsid w:val="FFAE4AE0"/>
    <w:rsid w:val="FFB6B284"/>
    <w:rsid w:val="FFBE2A7E"/>
    <w:rsid w:val="FFBE518C"/>
    <w:rsid w:val="FFBF080F"/>
    <w:rsid w:val="FFBF4FC5"/>
    <w:rsid w:val="FFBF6F54"/>
    <w:rsid w:val="FFBF8241"/>
    <w:rsid w:val="FFBF9E2F"/>
    <w:rsid w:val="FFD650CC"/>
    <w:rsid w:val="FFD7C476"/>
    <w:rsid w:val="FFDCB32E"/>
    <w:rsid w:val="FFDFA2CB"/>
    <w:rsid w:val="FFEF8934"/>
    <w:rsid w:val="FFFB558E"/>
    <w:rsid w:val="FFFC9742"/>
    <w:rsid w:val="FFFCC2F6"/>
    <w:rsid w:val="FFFD68F8"/>
    <w:rsid w:val="FF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9">
    <w:name w:val="Title"/>
    <w:basedOn w:val="1"/>
    <w:next w:val="1"/>
    <w:qFormat/>
    <w:uiPriority w:val="10"/>
    <w:pPr>
      <w:spacing w:before="240" w:after="60" w:line="680" w:lineRule="exact"/>
      <w:jc w:val="center"/>
      <w:outlineLvl w:val="1"/>
    </w:pPr>
    <w:rPr>
      <w:rFonts w:eastAsia="方正小标宋简体" w:cstheme="majorBidi"/>
      <w:bCs/>
      <w:sz w:val="44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脚 字符"/>
    <w:link w:val="6"/>
    <w:qFormat/>
    <w:uiPriority w:val="99"/>
    <w:rPr>
      <w:kern w:val="2"/>
      <w:sz w:val="18"/>
      <w:szCs w:val="18"/>
    </w:rPr>
  </w:style>
  <w:style w:type="paragraph" w:customStyle="1" w:styleId="15">
    <w:name w:val="规章"/>
    <w:basedOn w:val="1"/>
    <w:qFormat/>
    <w:uiPriority w:val="0"/>
    <w:pPr>
      <w:spacing w:after="120"/>
      <w:jc w:val="center"/>
    </w:pPr>
    <w:rPr>
      <w:rFonts w:eastAsia="黑体"/>
    </w:rPr>
  </w:style>
  <w:style w:type="paragraph" w:customStyle="1" w:styleId="16">
    <w:name w:val="文号1"/>
    <w:basedOn w:val="2"/>
    <w:next w:val="1"/>
    <w:qFormat/>
    <w:uiPriority w:val="0"/>
    <w:pPr>
      <w:jc w:val="center"/>
    </w:pPr>
  </w:style>
  <w:style w:type="paragraph" w:customStyle="1" w:styleId="17">
    <w:name w:val="一级标题"/>
    <w:basedOn w:val="1"/>
    <w:qFormat/>
    <w:uiPriority w:val="0"/>
    <w:rPr>
      <w:rFonts w:eastAsia="黑体"/>
    </w:rPr>
  </w:style>
  <w:style w:type="paragraph" w:customStyle="1" w:styleId="18">
    <w:name w:val="二级标题"/>
    <w:basedOn w:val="1"/>
    <w:qFormat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tjec</Company>
  <Pages>9</Pages>
  <Words>4857</Words>
  <Characters>4904</Characters>
  <Lines>34</Lines>
  <Paragraphs>9</Paragraphs>
  <TotalTime>13</TotalTime>
  <ScaleCrop>false</ScaleCrop>
  <LinksUpToDate>false</LinksUpToDate>
  <CharactersWithSpaces>4935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2021-10-29T23:22:00Z</dcterms:created>
  <dc:creator>办公室</dc:creator>
  <cp:lastModifiedBy>预备1</cp:lastModifiedBy>
  <cp:lastPrinted>2021-11-14T03:21:00Z</cp:lastPrinted>
  <dcterms:modified xsi:type="dcterms:W3CDTF">2021-11-17T14:48:46Z</dcterms:modified>
  <dc:title>津经[2003]号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AACD5E3D7FF74BE39CFE8931C603C823</vt:lpwstr>
  </property>
</Properties>
</file>