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rPr>
          <w:rFonts w:hint="eastAsia" w:ascii="仿宋_GB2312" w:hAnsi="宋体" w:eastAsia="仿宋_GB2312"/>
          <w:sz w:val="30"/>
        </w:rPr>
      </w:pPr>
    </w:p>
    <w:p>
      <w:pPr>
        <w:rPr>
          <w:rFonts w:hint="eastAsia" w:ascii="仿宋_GB2312" w:hAnsi="宋体" w:eastAsia="仿宋_GB2312"/>
          <w:sz w:val="13"/>
          <w:szCs w:val="13"/>
        </w:rPr>
      </w:pPr>
    </w:p>
    <w:tbl>
      <w:tblPr>
        <w:tblStyle w:val="6"/>
        <w:tblW w:w="5037" w:type="pct"/>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79" w:hRule="atLeast"/>
        </w:trPr>
        <w:tc>
          <w:tcPr>
            <w:tcW w:w="5000" w:type="pct"/>
            <w:tcBorders>
              <w:tl2br w:val="nil"/>
              <w:tr2bl w:val="nil"/>
            </w:tcBorders>
            <w:noWrap w:val="0"/>
            <w:vAlign w:val="center"/>
          </w:tcPr>
          <w:p>
            <w:pPr>
              <w:jc w:val="center"/>
              <w:rPr>
                <w:rFonts w:hint="default" w:ascii="宋体" w:hAnsi="宋体" w:eastAsia="宋体"/>
                <w:b/>
                <w:bCs/>
                <w:sz w:val="44"/>
                <w:lang w:val="en-US" w:eastAsia="zh-CN"/>
              </w:rPr>
            </w:pPr>
            <w:bookmarkStart w:id="0" w:name="bt"/>
            <w:r>
              <w:rPr>
                <w:rFonts w:hint="eastAsia" w:ascii="宋体" w:hAnsi="宋体"/>
                <w:b/>
                <w:bCs/>
                <w:sz w:val="44"/>
                <w:lang w:val="en-US" w:eastAsia="zh-CN"/>
              </w:rPr>
              <w:t>对市十八届人大二次会议</w:t>
            </w:r>
            <w:r>
              <w:rPr>
                <w:rFonts w:hint="eastAsia" w:ascii="宋体" w:hAnsi="宋体"/>
                <w:b/>
                <w:bCs/>
                <w:sz w:val="44"/>
                <w:lang w:val="en-US" w:eastAsia="zh-CN"/>
              </w:rPr>
              <w:br w:type="textWrapping"/>
            </w:r>
            <w:r>
              <w:rPr>
                <w:rFonts w:hint="eastAsia" w:ascii="宋体" w:hAnsi="宋体"/>
                <w:b/>
                <w:bCs/>
                <w:sz w:val="44"/>
                <w:lang w:val="en-US" w:eastAsia="zh-CN"/>
              </w:rPr>
              <w:t>第</w:t>
            </w:r>
            <w:r>
              <w:rPr>
                <w:rFonts w:hint="default" w:ascii="Nimbus Roman No9 L" w:hAnsi="Nimbus Roman No9 L" w:cs="Nimbus Roman No9 L"/>
                <w:b/>
                <w:bCs/>
                <w:sz w:val="44"/>
                <w:lang w:val="en-US" w:eastAsia="zh-CN"/>
              </w:rPr>
              <w:t>0</w:t>
            </w:r>
            <w:r>
              <w:rPr>
                <w:rFonts w:hint="eastAsia" w:ascii="Nimbus Roman No9 L" w:hAnsi="Nimbus Roman No9 L" w:cs="Nimbus Roman No9 L"/>
                <w:b/>
                <w:bCs/>
                <w:sz w:val="44"/>
                <w:lang w:val="en-US" w:eastAsia="zh-CN"/>
              </w:rPr>
              <w:t>003</w:t>
            </w:r>
            <w:r>
              <w:rPr>
                <w:rFonts w:hint="eastAsia" w:ascii="宋体" w:hAnsi="宋体"/>
                <w:b/>
                <w:bCs/>
                <w:sz w:val="44"/>
                <w:lang w:val="en-US" w:eastAsia="zh-CN"/>
              </w:rPr>
              <w:t>号建议的办理答复</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ind w:right="105" w:rightChars="50"/>
              <w:rPr>
                <w:rFonts w:eastAsia="仿宋_GB2312"/>
                <w:sz w:val="32"/>
              </w:rPr>
            </w:pPr>
            <w:bookmarkStart w:id="1" w:name="chenghu"/>
            <w:r>
              <w:rPr>
                <w:rFonts w:hint="eastAsia" w:eastAsia="仿宋_GB2312"/>
                <w:sz w:val="32"/>
                <w:lang w:val="en" w:eastAsia="zh-CN"/>
              </w:rPr>
              <w:t>刘智</w:t>
            </w:r>
            <w:r>
              <w:rPr>
                <w:rFonts w:hint="eastAsia" w:eastAsia="仿宋_GB2312"/>
                <w:sz w:val="32"/>
                <w:lang w:val="en-US" w:eastAsia="zh-CN"/>
              </w:rPr>
              <w:t>代表</w:t>
            </w:r>
            <w:bookmarkEnd w:id="1"/>
            <w:r>
              <w:rPr>
                <w:rFonts w:eastAsia="仿宋_GB2312"/>
                <w:sz w:val="3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rPr>
                <w:rFonts w:eastAsia="仿宋_GB2312"/>
                <w:sz w:val="32"/>
              </w:rPr>
            </w:pPr>
            <w:r>
              <w:rPr>
                <w:rFonts w:eastAsia="仿宋_GB2312"/>
                <w:sz w:val="32"/>
                <w:szCs w:val="18"/>
              </w:rPr>
              <w:t>　　</w:t>
            </w:r>
            <w:bookmarkStart w:id="2" w:name="shuo"/>
            <w:r>
              <w:rPr>
                <w:rFonts w:hint="eastAsia" w:eastAsia="仿宋_GB2312"/>
                <w:sz w:val="32"/>
                <w:szCs w:val="18"/>
                <w:lang w:val="en-US" w:eastAsia="zh-CN"/>
              </w:rPr>
              <w:t>您提出的关于完善科技创新体系加快实施创新驱动发展战略的建议，经会同市发展改革委、</w:t>
            </w:r>
            <w:r>
              <w:rPr>
                <w:rFonts w:hint="default" w:eastAsia="仿宋_GB2312"/>
                <w:sz w:val="32"/>
                <w:szCs w:val="18"/>
                <w:lang w:val="en" w:eastAsia="zh-CN"/>
              </w:rPr>
              <w:t>市工业和信息化局</w:t>
            </w:r>
            <w:r>
              <w:rPr>
                <w:rFonts w:hint="eastAsia" w:eastAsia="仿宋_GB2312"/>
                <w:sz w:val="32"/>
                <w:szCs w:val="18"/>
                <w:lang w:val="en-US" w:eastAsia="zh-CN"/>
              </w:rPr>
              <w:t>、市人社局等研究答复如下</w:t>
            </w:r>
            <w:bookmarkEnd w:id="2"/>
            <w:r>
              <w:rPr>
                <w:rFonts w:eastAsia="仿宋_GB2312"/>
                <w:sz w:val="32"/>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2" w:hRule="atLeast"/>
        </w:trPr>
        <w:tc>
          <w:tcPr>
            <w:tcW w:w="5000" w:type="pct"/>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105" w:rightChars="50" w:firstLine="640" w:firstLineChars="200"/>
              <w:textAlignment w:val="auto"/>
              <w:rPr>
                <w:rFonts w:hint="eastAsia" w:eastAsia="仿宋_GB2312"/>
                <w:sz w:val="32"/>
                <w:lang w:val="en-US" w:eastAsia="zh-CN"/>
              </w:rPr>
            </w:pPr>
            <w:r>
              <w:rPr>
                <w:rFonts w:hint="eastAsia" w:eastAsia="仿宋_GB2312"/>
                <w:sz w:val="32"/>
                <w:lang w:val="en-US" w:eastAsia="zh-CN"/>
              </w:rPr>
              <w:t>关于您提出的加强基础研究的建议，我们主要开展了以下工作：一是</w:t>
            </w:r>
            <w:r>
              <w:rPr>
                <w:rFonts w:hint="eastAsia" w:eastAsia="仿宋_GB2312" w:cs="Times New Roman"/>
                <w:sz w:val="32"/>
                <w:szCs w:val="32"/>
                <w:lang w:eastAsia="zh-CN"/>
              </w:rPr>
              <w:t>编制自然科学基金项目实施方案，完善基础研究体系化、系统化布局。二是组织自然科学基金常规项目、杰出青年科学基金项目，产生一批重要基础研究成果，培养一批国家级人才“后备军”。三是创新基础研究项目立项机制，支持南开大学、天津大学自主立项开展研究。下一步，我们将认真吸取您的建议，持续</w:t>
            </w:r>
            <w:r>
              <w:rPr>
                <w:rFonts w:hint="eastAsia" w:eastAsia="仿宋_GB2312"/>
                <w:sz w:val="32"/>
                <w:lang w:val="en-US" w:eastAsia="zh-CN"/>
              </w:rPr>
              <w:t>提升基础研究源头创新能力。从制约发展的产业问题中凝练基础科学问题，实施一批自然科学基金项目，鼓励高校、院所和科技领军企业开展源头创新和底层技术创新，促进基础研究、应用基础研究与产业发展相互融通。优化基础研究支持体系，争取国家自然科学基金、国家重点研发计划等项目支持，发挥天津市自然科学基金支持源头创新作用，推广基础研究多元化投入机制，引导全社会支持基础研究。</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105" w:rightChars="50" w:firstLine="640" w:firstLineChars="200"/>
              <w:textAlignment w:val="auto"/>
              <w:rPr>
                <w:rFonts w:hint="eastAsia" w:eastAsia="仿宋_GB2312"/>
                <w:sz w:val="32"/>
                <w:lang w:val="en-US" w:eastAsia="zh-CN"/>
              </w:rPr>
            </w:pPr>
            <w:r>
              <w:rPr>
                <w:rFonts w:hint="eastAsia" w:eastAsia="仿宋_GB2312"/>
                <w:sz w:val="32"/>
                <w:lang w:val="en-US" w:eastAsia="zh-CN"/>
              </w:rPr>
              <w:t>关于您提出的强化企业科技创新主体地位的建议，我们主要开展了以下工作：一是鼓励领军企业牵头，整合优势高校院所以及产业链上下游企业，组建20家创新联合体。二是持续优化企业梯度培育机制，评价入库国家科技型中小企业11710家。三是国家高新技术企业总量突破1.1万家，占全市企业法人比重保持全国前三。四是累计创建国家级企业技术中心77家，位列全国重点城市第三。下一步，我们将持续强化企业创新主体地位。修订科技型企业评价办法，全市新增评价入库国家科技型中小企业1000家。完善国家高新技术企业“遴选+入库+培育+认定”工作机制，完善奖励政策，推动高企规模化、集群化发展，全市新增高企1000家。支持科技领军企业依托创新联合体牵头实施科技重大项目，努力攻克一批前沿应用技术，破解一批“卡脖子”技术。</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105" w:rightChars="50" w:firstLine="640" w:firstLineChars="200"/>
              <w:textAlignment w:val="auto"/>
              <w:rPr>
                <w:rFonts w:hint="eastAsia" w:eastAsia="仿宋_GB2312"/>
                <w:sz w:val="32"/>
                <w:szCs w:val="32"/>
                <w:lang w:eastAsia="zh-CN"/>
              </w:rPr>
            </w:pPr>
            <w:r>
              <w:rPr>
                <w:rFonts w:hint="eastAsia" w:eastAsia="仿宋_GB2312"/>
                <w:sz w:val="32"/>
                <w:lang w:val="en-US" w:eastAsia="zh-CN"/>
              </w:rPr>
              <w:t>关于您提出的推动生物医药科技创新的建议，我们主要开展了以下工作：一是</w:t>
            </w:r>
            <w:r>
              <w:rPr>
                <w:rFonts w:hint="eastAsia" w:eastAsia="仿宋_GB2312" w:cs="Times New Roman"/>
                <w:b w:val="0"/>
                <w:bCs w:val="0"/>
                <w:kern w:val="0"/>
                <w:sz w:val="32"/>
                <w:szCs w:val="32"/>
                <w:lang w:val="en-US" w:eastAsia="zh-CN"/>
              </w:rPr>
              <w:t>大力推动生物医药产业链高质量发展，加强重大建设项目清单化管理，推动康希诺、诺和诺德、华熙生物等一批项目加快建设。二是争取纳通集团等重点项目落地，推动产业成龙配套、成链成群。三是</w:t>
            </w:r>
            <w:r>
              <w:rPr>
                <w:rFonts w:hint="eastAsia" w:ascii="Times New Roman" w:hAnsi="Times New Roman" w:eastAsia="仿宋_GB2312"/>
                <w:sz w:val="32"/>
                <w:szCs w:val="32"/>
              </w:rPr>
              <w:t>工业生物研究所率先研发出具有自主知识产权的酶促DNA合成技术，合成DNA的平均准确率高达98.7%，</w:t>
            </w:r>
            <w:r>
              <w:rPr>
                <w:rFonts w:hint="eastAsia" w:ascii="Times New Roman" w:hAnsi="Times New Roman" w:eastAsia="仿宋_GB2312"/>
                <w:sz w:val="32"/>
                <w:szCs w:val="32"/>
                <w:lang w:val="en-US" w:eastAsia="zh-CN"/>
              </w:rPr>
              <w:t>全球首创二氧化碳合成淀粉工艺</w:t>
            </w:r>
            <w:r>
              <w:rPr>
                <w:rFonts w:hint="eastAsia" w:ascii="Times New Roman" w:hAnsi="Times New Roman" w:eastAsia="仿宋_GB2312"/>
                <w:sz w:val="32"/>
                <w:szCs w:val="32"/>
              </w:rPr>
              <w:t>。</w:t>
            </w:r>
            <w:r>
              <w:rPr>
                <w:rFonts w:hint="eastAsia" w:eastAsia="仿宋_GB2312"/>
                <w:sz w:val="32"/>
                <w:szCs w:val="32"/>
                <w:lang w:eastAsia="zh-CN"/>
              </w:rPr>
              <w:t>下一步，我们将加强关键核心技术攻关，围绕合成生物、细胞与基因治疗等优势领域，部署一批前沿技术项目，努力形成一批原创性、颠覆性技术成果。</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105" w:rightChars="50" w:firstLine="640" w:firstLineChars="200"/>
              <w:textAlignment w:val="auto"/>
              <w:rPr>
                <w:rFonts w:hint="eastAsia" w:eastAsia="仿宋_GB2312"/>
                <w:sz w:val="32"/>
                <w:lang w:val="en-US" w:eastAsia="zh-CN"/>
              </w:rPr>
            </w:pPr>
            <w:r>
              <w:rPr>
                <w:rFonts w:hint="eastAsia" w:eastAsia="仿宋_GB2312"/>
                <w:sz w:val="32"/>
                <w:szCs w:val="32"/>
                <w:lang w:eastAsia="zh-CN"/>
              </w:rPr>
              <w:t>关于您提出的推动工业软件产业高质量发展和工业人工智能发展的建议，目前，我们主要开展了以下工作：</w:t>
            </w:r>
            <w:r>
              <w:rPr>
                <w:rFonts w:hint="eastAsia" w:eastAsia="仿宋_GB2312"/>
                <w:sz w:val="32"/>
                <w:lang w:val="en-US" w:eastAsia="zh-CN"/>
              </w:rPr>
              <w:t>推进人工智能赋能产业发展。一是国家超算天津中心构建自主可控的算力基础设施，为石油化工、新材料、生物医药等行业创新发展提供支撑。二是恒银科技、菲特检测等企业应用天津市人工智能计算中心平台开展金融、汽车、医疗等场景能力创新。</w:t>
            </w:r>
            <w:r>
              <w:rPr>
                <w:rFonts w:hint="eastAsia" w:ascii="Times New Roman" w:hAnsi="Times New Roman" w:eastAsia="仿宋_GB2312" w:cs="Times New Roman"/>
                <w:b w:val="0"/>
                <w:bCs w:val="0"/>
                <w:kern w:val="0"/>
                <w:sz w:val="32"/>
                <w:szCs w:val="32"/>
                <w:lang w:val="en-US" w:eastAsia="zh-CN"/>
              </w:rPr>
              <w:t>菲特</w:t>
            </w:r>
            <w:r>
              <w:rPr>
                <w:rFonts w:hint="eastAsia" w:eastAsia="仿宋_GB2312" w:cs="Times New Roman"/>
                <w:b w:val="0"/>
                <w:bCs w:val="0"/>
                <w:kern w:val="0"/>
                <w:sz w:val="32"/>
                <w:szCs w:val="32"/>
                <w:lang w:val="en-US" w:eastAsia="zh-CN"/>
              </w:rPr>
              <w:t>围绕</w:t>
            </w:r>
            <w:r>
              <w:rPr>
                <w:rFonts w:hint="eastAsia" w:ascii="Times New Roman" w:hAnsi="Times New Roman" w:eastAsia="仿宋_GB2312" w:cs="Times New Roman"/>
                <w:b w:val="0"/>
                <w:bCs w:val="0"/>
                <w:kern w:val="0"/>
                <w:sz w:val="32"/>
                <w:szCs w:val="32"/>
                <w:lang w:val="en-US" w:eastAsia="zh-CN"/>
              </w:rPr>
              <w:t>冲压、焊接、涂装、总装四大场景</w:t>
            </w:r>
            <w:r>
              <w:rPr>
                <w:rFonts w:hint="eastAsia" w:eastAsia="仿宋_GB2312" w:cs="Times New Roman"/>
                <w:b w:val="0"/>
                <w:bCs w:val="0"/>
                <w:kern w:val="0"/>
                <w:sz w:val="32"/>
                <w:szCs w:val="32"/>
                <w:lang w:val="en-US" w:eastAsia="zh-CN"/>
              </w:rPr>
              <w:t>，</w:t>
            </w:r>
            <w:r>
              <w:rPr>
                <w:rFonts w:hint="eastAsia" w:ascii="Times New Roman" w:hAnsi="Times New Roman" w:eastAsia="仿宋_GB2312" w:cs="Times New Roman"/>
                <w:b w:val="0"/>
                <w:bCs w:val="0"/>
                <w:kern w:val="0"/>
                <w:sz w:val="32"/>
                <w:szCs w:val="32"/>
                <w:lang w:val="en-US" w:eastAsia="zh-CN"/>
              </w:rPr>
              <w:t>形成全套的AI智能质检方案，构建人工智能与制造业良性互促的产业生态</w:t>
            </w:r>
            <w:r>
              <w:rPr>
                <w:rFonts w:hint="eastAsia" w:eastAsia="仿宋_GB2312" w:cs="Times New Roman"/>
                <w:b w:val="0"/>
                <w:bCs w:val="0"/>
                <w:kern w:val="0"/>
                <w:sz w:val="32"/>
                <w:szCs w:val="32"/>
                <w:lang w:val="en-US" w:eastAsia="zh-CN"/>
              </w:rPr>
              <w:t>。下一步，将组建基础软件及工业软件创新联合体，</w:t>
            </w:r>
            <w:r>
              <w:rPr>
                <w:rFonts w:hint="default" w:ascii="Nimbus Roman No9 L" w:hAnsi="Nimbus Roman No9 L" w:eastAsia="仿宋_GB2312" w:cs="Nimbus Roman No9 L"/>
                <w:color w:val="auto"/>
                <w:sz w:val="32"/>
                <w:szCs w:val="32"/>
                <w:u w:val="none"/>
                <w:lang w:val="en-US" w:eastAsia="zh-CN"/>
              </w:rPr>
              <w:t>支持</w:t>
            </w:r>
            <w:r>
              <w:rPr>
                <w:rFonts w:hint="default" w:ascii="Nimbus Roman No9 L" w:hAnsi="Nimbus Roman No9 L" w:eastAsia="仿宋_GB2312" w:cs="Nimbus Roman No9 L"/>
                <w:b w:val="0"/>
                <w:bCs w:val="0"/>
                <w:color w:val="auto"/>
                <w:sz w:val="32"/>
                <w:szCs w:val="32"/>
                <w:highlight w:val="none"/>
                <w:u w:val="none"/>
                <w:lang w:val="en-US" w:eastAsia="zh-CN"/>
              </w:rPr>
              <w:t>科技领军企业</w:t>
            </w:r>
            <w:r>
              <w:rPr>
                <w:rFonts w:hint="default" w:ascii="Nimbus Roman No9 L" w:hAnsi="Nimbus Roman No9 L" w:eastAsia="仿宋_GB2312" w:cs="Nimbus Roman No9 L"/>
                <w:color w:val="auto"/>
                <w:sz w:val="32"/>
                <w:szCs w:val="32"/>
                <w:u w:val="none"/>
                <w:lang w:val="en" w:eastAsia="zh-CN"/>
              </w:rPr>
              <w:t>依托</w:t>
            </w:r>
            <w:r>
              <w:rPr>
                <w:rFonts w:hint="default" w:ascii="Nimbus Roman No9 L" w:hAnsi="Nimbus Roman No9 L" w:eastAsia="仿宋_GB2312" w:cs="Nimbus Roman No9 L"/>
                <w:color w:val="auto"/>
                <w:sz w:val="32"/>
                <w:szCs w:val="32"/>
                <w:u w:val="none"/>
                <w:lang w:val="en-US" w:eastAsia="zh-CN"/>
              </w:rPr>
              <w:t>创新联合体</w:t>
            </w:r>
            <w:r>
              <w:rPr>
                <w:rFonts w:hint="default" w:ascii="Nimbus Roman No9 L" w:hAnsi="Nimbus Roman No9 L" w:eastAsia="仿宋_GB2312" w:cs="Nimbus Roman No9 L"/>
                <w:b w:val="0"/>
                <w:bCs w:val="0"/>
                <w:color w:val="auto"/>
                <w:sz w:val="32"/>
                <w:szCs w:val="32"/>
                <w:highlight w:val="none"/>
                <w:u w:val="none"/>
                <w:lang w:val="en-US" w:eastAsia="zh-CN"/>
              </w:rPr>
              <w:t>牵头</w:t>
            </w:r>
            <w:r>
              <w:rPr>
                <w:rFonts w:hint="default" w:ascii="Nimbus Roman No9 L" w:hAnsi="Nimbus Roman No9 L" w:eastAsia="仿宋_GB2312" w:cs="Nimbus Roman No9 L"/>
                <w:color w:val="auto"/>
                <w:sz w:val="32"/>
                <w:szCs w:val="32"/>
                <w:highlight w:val="none"/>
                <w:u w:val="none"/>
                <w:lang w:eastAsia="zh-CN"/>
              </w:rPr>
              <w:t>实施科技重大项目，努力</w:t>
            </w:r>
            <w:r>
              <w:rPr>
                <w:rFonts w:hint="default" w:ascii="Nimbus Roman No9 L" w:hAnsi="Nimbus Roman No9 L" w:eastAsia="仿宋_GB2312" w:cs="Nimbus Roman No9 L"/>
                <w:color w:val="auto"/>
                <w:sz w:val="32"/>
                <w:szCs w:val="32"/>
                <w:u w:val="none"/>
                <w:lang w:val="en-US" w:eastAsia="zh-CN"/>
              </w:rPr>
              <w:t>攻克</w:t>
            </w:r>
            <w:r>
              <w:rPr>
                <w:rFonts w:hint="default" w:ascii="Nimbus Roman No9 L" w:hAnsi="Nimbus Roman No9 L" w:eastAsia="仿宋_GB2312" w:cs="Nimbus Roman No9 L"/>
                <w:color w:val="auto"/>
                <w:sz w:val="32"/>
                <w:szCs w:val="32"/>
                <w:highlight w:val="none"/>
                <w:u w:val="none"/>
                <w:lang w:val="en-US" w:eastAsia="zh-CN"/>
              </w:rPr>
              <w:t>一批前沿应用技术，破解一批“卡脖子”技术</w:t>
            </w:r>
            <w:r>
              <w:rPr>
                <w:rFonts w:hint="default" w:ascii="Nimbus Roman No9 L" w:hAnsi="Nimbus Roman No9 L" w:eastAsia="仿宋_GB2312" w:cs="Nimbus Roman No9 L"/>
                <w:color w:val="auto"/>
                <w:sz w:val="32"/>
                <w:szCs w:val="32"/>
                <w:u w:val="none"/>
                <w:lang w:val="en" w:eastAsia="zh-CN"/>
              </w:rPr>
              <w:t>。</w:t>
            </w:r>
            <w:r>
              <w:rPr>
                <w:rFonts w:hint="eastAsia" w:eastAsia="仿宋_GB2312"/>
                <w:sz w:val="32"/>
                <w:lang w:val="en-US" w:eastAsia="zh-CN"/>
              </w:rPr>
              <w:t>继续完善制造业技术创新体系，提升产业共性技术攻关和企业创新能力。围绕信创、高端装备等重点产业，开展国产高端服务器、超薄晶圆加工设备、高性能钛合金油井管等专项卡点技术攻关。强化人工智能赋能能力，发挥超算中心和天津人工智能智算中心作用，推动人工智能与实体经济深度融合。</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105" w:rightChars="50" w:firstLine="640" w:firstLineChars="200"/>
              <w:textAlignment w:val="auto"/>
              <w:rPr>
                <w:rFonts w:hint="eastAsia" w:eastAsia="仿宋_GB2312"/>
                <w:sz w:val="32"/>
                <w:lang w:val="en-US" w:eastAsia="zh-CN"/>
              </w:rPr>
            </w:pPr>
            <w:r>
              <w:rPr>
                <w:rFonts w:hint="eastAsia" w:eastAsia="仿宋_GB2312"/>
                <w:sz w:val="32"/>
                <w:lang w:val="en-US" w:eastAsia="zh-CN"/>
              </w:rPr>
              <w:t>关于您提出的改革科研管理机制的建议，目前，我们主要开展了以下工作：一是深化职称制度改革。在海河实验室等重大创新载体设立职称评审改革综合试验区，赋予用人主体评价自主权，单建评委会，单独组织评审，顶格下放正高级评审权，目前已在3家单位试点。实施“科创企业评职称”专项服务，创新提出“一企一评”、企业家“一单举荐”、代表性成果“一票决定”、网上申报“一次不跑”的“四个一”服务模式，支持华海清科、云圣智能等112家企业1300余人完成职称评价。在全国率先开发职称证书区块链查验系统，实现职称证书区块链上链，确保职称证书权威性和职称数据安全性。</w:t>
            </w:r>
            <w:r>
              <w:rPr>
                <w:rFonts w:hint="eastAsia" w:eastAsia="仿宋_GB2312"/>
                <w:sz w:val="32"/>
                <w:szCs w:val="18"/>
                <w:lang w:val="en-US" w:eastAsia="zh-CN"/>
              </w:rPr>
              <w:t>二是</w:t>
            </w:r>
            <w:r>
              <w:rPr>
                <w:rFonts w:hint="eastAsia" w:eastAsia="仿宋_GB2312"/>
                <w:sz w:val="32"/>
                <w:lang w:val="en-US" w:eastAsia="zh-CN"/>
              </w:rPr>
              <w:t>鼓励事业单位科研人员成果转化。市人社局会同市财政局、市科技局印发关于事业单位科研人员职务科技成果转化现金奖励纳入绩效工资管理的政策文件，提出要将科技成果完成单位按规定对完成、转化该项科技成果做出重要贡献人员给予的现金奖励，计入当年本单位绩效工资总量并予以单列，但不受年人均收入调控线和年收入增幅限制，不作为核定单位下一年度绩效工资总量的基数，不作为社会保险缴费基数，为科研人员职务科技成果转化现金奖励的落地提供政策支持。三是完善事业单位绩效工资政策。市人社局与市财政局完善我市事业单位绩效工资政策，一方面下放绩效工资核准权限，由事业单位主管部门根据对下属事业单位的考核结果，统筹确定下属事业单位的绩效工资水平；利益方面，提高收入增幅的调控线，分别由8%、12%提高到10%、15%，增加了事业单位增加收入的空间；同时，强调考核结果的应用，事业单位主管部门建立对下属事业单位的考核机制，事业单位建立对工作人员的考核制度，考核结果分别与事业单位绩效工资水平和工作人员的绩效工资水平相挂钩。进一步加大科研事业单位的收入分配自主权，压实主管部门的收入管理责任。下一步，结合您的建议，我们将持续深化科技体制机制改革，完善科技奖励机制，优化环境建设。发挥揭榜挂帅机制积极作用，发掘一批创新创业好项目，进一步推动落实相关政策实施，为科研成果转化提供保障。</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105" w:rightChars="50" w:firstLine="640" w:firstLineChars="200"/>
              <w:textAlignment w:val="auto"/>
              <w:rPr>
                <w:rFonts w:hint="eastAsia" w:eastAsia="仿宋_GB2312"/>
                <w:sz w:val="32"/>
                <w:lang w:val="en-US" w:eastAsia="zh-CN"/>
              </w:rPr>
            </w:pPr>
            <w:r>
              <w:rPr>
                <w:rFonts w:hint="eastAsia" w:eastAsia="仿宋_GB2312"/>
                <w:sz w:val="32"/>
                <w:lang w:val="en-US" w:eastAsia="zh-CN"/>
              </w:rPr>
              <w:t>关于您提出的加强高水平科技创新平台建设的提议，目前，我们主要开展了以下工作：</w:t>
            </w:r>
            <w:r>
              <w:rPr>
                <w:rFonts w:hint="eastAsia" w:eastAsia="仿宋_GB2312"/>
                <w:sz w:val="32"/>
                <w:szCs w:val="18"/>
                <w:lang w:val="en-US" w:eastAsia="zh-CN"/>
              </w:rPr>
              <w:t>一是国家超算天津中心获批筹建“国家新一代人工智能公共算力开放创新平台”，自主研制CAE软件入选“科创中国”先导技术榜；国家合成生物技术创新中心完成吨级二氧化碳人工合成淀粉中试平台建设，“人工转化二氧化碳从头精准合成己糖技术”达到人工制糖路线中碳转化效率最高水平。二是国家先进计算产业创新中心是我市唯一一家国家级产业创新中心，为信息技术产业的创新驱动发展奠定坚实基础。</w:t>
            </w:r>
            <w:r>
              <w:rPr>
                <w:rFonts w:hint="default" w:ascii="Times New Roman" w:hAnsi="Times New Roman" w:eastAsia="仿宋_GB2312" w:cs="Times New Roman"/>
                <w:sz w:val="32"/>
                <w:szCs w:val="32"/>
              </w:rPr>
              <w:t>现代中药成功获批国家级制造业创新中心，</w:t>
            </w:r>
            <w:r>
              <w:rPr>
                <w:rFonts w:hint="eastAsia" w:eastAsia="仿宋_GB2312" w:cs="Times New Roman"/>
                <w:sz w:val="32"/>
                <w:szCs w:val="32"/>
                <w:lang w:eastAsia="zh-CN"/>
              </w:rPr>
              <w:t>积极</w:t>
            </w:r>
            <w:r>
              <w:rPr>
                <w:rFonts w:hint="default" w:ascii="Times New Roman" w:hAnsi="Times New Roman" w:eastAsia="仿宋_GB2312" w:cs="Times New Roman"/>
                <w:sz w:val="32"/>
                <w:szCs w:val="32"/>
              </w:rPr>
              <w:t>打造国家级“芯火”双创基地、中科院工生所、天津药研院、南港工业区科创中心等一批产业创新平台，</w:t>
            </w:r>
            <w:r>
              <w:rPr>
                <w:rFonts w:hint="eastAsia" w:eastAsia="仿宋_GB2312" w:cs="Times New Roman"/>
                <w:sz w:val="32"/>
                <w:szCs w:val="32"/>
                <w:lang w:val="en-US" w:eastAsia="zh-CN"/>
              </w:rPr>
              <w:t>新增</w:t>
            </w:r>
            <w:r>
              <w:rPr>
                <w:rFonts w:hint="eastAsia" w:ascii="Times New Roman" w:hAnsi="Times New Roman" w:eastAsia="仿宋_GB2312" w:cs="Times New Roman"/>
                <w:sz w:val="32"/>
                <w:szCs w:val="32"/>
                <w:lang w:val="en-US" w:eastAsia="zh-CN"/>
              </w:rPr>
              <w:t>电气科学研究院、中海油化工设计院等6个</w:t>
            </w:r>
            <w:r>
              <w:rPr>
                <w:rFonts w:hint="default" w:ascii="Times New Roman" w:hAnsi="Times New Roman" w:eastAsia="仿宋_GB2312" w:cs="Times New Roman"/>
                <w:sz w:val="32"/>
                <w:szCs w:val="32"/>
              </w:rPr>
              <w:t>国家产业技术基础公共服务平台</w:t>
            </w:r>
            <w:r>
              <w:rPr>
                <w:rFonts w:hint="eastAsia" w:eastAsia="仿宋_GB2312" w:cs="Times New Roman"/>
                <w:sz w:val="32"/>
                <w:szCs w:val="32"/>
                <w:lang w:eastAsia="zh-CN"/>
              </w:rPr>
              <w:t>，</w:t>
            </w:r>
            <w:r>
              <w:rPr>
                <w:rFonts w:hint="eastAsia" w:eastAsia="仿宋_GB2312" w:cs="Times New Roman"/>
                <w:sz w:val="32"/>
                <w:szCs w:val="32"/>
                <w:lang w:val="en-US" w:eastAsia="zh-CN"/>
              </w:rPr>
              <w:t>总数</w:t>
            </w:r>
            <w:r>
              <w:rPr>
                <w:rFonts w:hint="default" w:ascii="Times New Roman" w:hAnsi="Times New Roman" w:eastAsia="仿宋_GB2312" w:cs="Times New Roman"/>
                <w:sz w:val="32"/>
                <w:szCs w:val="32"/>
              </w:rPr>
              <w:t>达到11家。</w:t>
            </w:r>
            <w:r>
              <w:rPr>
                <w:rFonts w:hint="eastAsia" w:eastAsia="仿宋_GB2312"/>
                <w:sz w:val="32"/>
                <w:szCs w:val="18"/>
                <w:lang w:val="en-US" w:eastAsia="zh-CN"/>
              </w:rPr>
              <w:t>三是加强重大基础设施建设。大型地震工程模拟研究设施总建筑面积7.6万平方米的土建工程已全部完成，正在开展设备安装调试及方案优化工作，力争在年底具备验收条件，正式投入使用。下一步，我们将</w:t>
            </w:r>
            <w:r>
              <w:rPr>
                <w:rFonts w:hint="eastAsia" w:eastAsia="仿宋_GB2312"/>
                <w:sz w:val="32"/>
                <w:lang w:val="en-US" w:eastAsia="zh-CN"/>
              </w:rPr>
              <w:t>提升重大创新平台运行能级。新一代超级计算机以大规模高性能算力为牵引，推动CAE工业仿真软件、应用软件的研发适配，不断拓展超算应用广度和深度。国家合成生物技创中心实施合成生物技术创新能力提升行动，构建大宗化学品绿色制造、天然产物人工合成等产业应用技术体系。大型地震工程模拟研究设施力争年底前建成运行，围绕复杂水动力环境模拟和高性能仿真等承担科技项目，开展关键技术攻关。</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105" w:rightChars="50" w:firstLine="640" w:firstLineChars="200"/>
              <w:textAlignment w:val="auto"/>
              <w:rPr>
                <w:rFonts w:hint="default" w:eastAsia="仿宋_GB2312"/>
                <w:sz w:val="32"/>
                <w:szCs w:val="18"/>
                <w:lang w:val="en-US" w:eastAsia="zh-CN"/>
              </w:rPr>
            </w:pPr>
            <w:r>
              <w:rPr>
                <w:rFonts w:hint="eastAsia" w:eastAsia="仿宋_GB2312"/>
                <w:sz w:val="32"/>
                <w:lang w:val="en-US" w:eastAsia="zh-CN"/>
              </w:rPr>
              <w:t>关于您提出的构筑人才聚集高地和提升科普组织动员能力的提议，目前，我们主要开展了以下工作：一是加快培育青年后备人才。推进博士后培养平台建设，累计招收博士后7600余人，出站博士后留津工作比例超过60%。与北洋海棠合作共建博士博士后“五个一”创新创业生态，设立首支1亿元博士博士后创业投资基金。二是推进专业技术人才继续教育。天津中德应用技术大学获批国家级专业技术人员继续教育基地，累计5家单位入选。我市“新能源汽车领域卓越工程技术人才技术赋能”等8个项目入选全国专业技术人才知识更新工程2023年高级研修项目，入选数量与北京、上海、山东并列全国第一。三是大力培育优秀技能人才。构建以行业企业为主体、职业学校为基础、政府推动与社会支持相结合的高技能人才培养体系，全市立即建成1个国家级公共实训中心、18个国家级高技能人才培训基地和45个市级高技能人才培训基地。选拔第四届“海河工匠”，累计选拔表彰40人。四是拓展新兴产业人才发展通道。实施数字经济领域技术技能人才培育项目，组成全国首个数字人才产教培融合“订单班”，发放全国首张智能制造专业技术等级证书，并实现职称证书“双证”联发，该模式作为人社部“解剖麻雀”案例在全国推广。开展数字技术工程师培育项目第二批培训机构遴选工作，确定市工业和信息化研究院等我市12家单位为第二批培训机构。五是科学技术普及成效显著。落实关于进一步深化新时代科学技术普及工作的实施意见，统筹推动科普工作健康发展。新认定58家天津市科普基地，建设6家“青少年科学探究实验室”，为青少年科学教育搭建平台载体。会同市科协举办科技周、科普日活动，举办科普讲解大赛、科普微视频大赛、优秀科普图书评选等活动，点燃全社会参与科普热情。加强科普工作者队伍建设，全市科普专职人员5341人，科普兼职人员3.8万人，注册科普志愿者24万余人。下一步，我们将持</w:t>
            </w:r>
            <w:bookmarkStart w:id="4" w:name="_GoBack"/>
            <w:bookmarkEnd w:id="4"/>
            <w:r>
              <w:rPr>
                <w:rFonts w:hint="eastAsia" w:eastAsia="仿宋_GB2312"/>
                <w:sz w:val="32"/>
                <w:lang w:val="en-US" w:eastAsia="zh-CN"/>
              </w:rPr>
              <w:t>续优化科技人才培养机制。继续组建顶尖科学家工作室，面向全球引聚具有战略科学家潜质的顶尖人才、科技领军人才和一流创新团队。支持优秀青年科技人才成长，全年实施30项天津市杰出青年基金项目，市级自然科学基金项目中青年科研人员占比不少于50%。进一步营造人才创新创业良好氛围，推动各类获奖项目成果落地。加强科普能力建设，推进全市科普基地特色化、专业化发展，高水平办好科普活动，构建大科普工作格局，提升全民科学文化素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480" w:lineRule="exact"/>
              <w:ind w:right="105" w:rightChars="50"/>
              <w:jc w:val="both"/>
              <w:rPr>
                <w:rFonts w:hint="eastAsia" w:ascii="仿宋_GB2312" w:eastAsia="仿宋_GB2312"/>
                <w:sz w:val="32"/>
              </w:rPr>
            </w:pPr>
          </w:p>
          <w:p>
            <w:pPr>
              <w:spacing w:line="480" w:lineRule="exact"/>
              <w:ind w:right="105" w:rightChars="50"/>
              <w:jc w:val="both"/>
              <w:rPr>
                <w:rFonts w:hint="eastAsia" w:ascii="仿宋_GB2312" w:eastAsia="仿宋_GB2312"/>
                <w:sz w:val="32"/>
              </w:rPr>
            </w:pPr>
          </w:p>
          <w:p>
            <w:pPr>
              <w:spacing w:line="480" w:lineRule="exact"/>
              <w:ind w:right="105" w:rightChars="50"/>
              <w:jc w:val="both"/>
              <w:rPr>
                <w:rFonts w:hint="eastAsia" w:ascii="仿宋_GB2312" w:eastAsia="仿宋_GB2312"/>
                <w:sz w:val="32"/>
              </w:rPr>
            </w:pPr>
          </w:p>
          <w:p>
            <w:pPr>
              <w:spacing w:line="480" w:lineRule="exact"/>
              <w:ind w:right="105" w:rightChars="50"/>
              <w:jc w:val="center"/>
              <w:rPr>
                <w:rFonts w:hint="eastAsia" w:ascii="仿宋_GB2312" w:eastAsia="仿宋_GB2312"/>
                <w:sz w:val="32"/>
              </w:rPr>
            </w:pPr>
            <w:bookmarkStart w:id="3" w:name="now"/>
            <w:r>
              <w:rPr>
                <w:rFonts w:hint="eastAsia" w:ascii="Nimbus Roman No9 L" w:hAnsi="Nimbus Roman No9 L" w:eastAsia="仿宋_GB2312" w:cs="Nimbus Roman No9 L"/>
                <w:sz w:val="32"/>
                <w:lang w:val="en-US" w:eastAsia="zh-CN"/>
              </w:rPr>
              <w:t xml:space="preserve">                          </w:t>
            </w:r>
            <w:r>
              <w:rPr>
                <w:rFonts w:hint="default" w:ascii="Nimbus Roman No9 L" w:hAnsi="Nimbus Roman No9 L" w:eastAsia="仿宋_GB2312" w:cs="Nimbus Roman No9 L"/>
                <w:sz w:val="32"/>
                <w:lang w:val="en-US" w:eastAsia="zh-CN"/>
              </w:rPr>
              <w:t>2024</w:t>
            </w:r>
            <w:r>
              <w:rPr>
                <w:rFonts w:hint="eastAsia" w:ascii="仿宋_GB2312" w:eastAsia="仿宋_GB2312"/>
                <w:sz w:val="32"/>
                <w:lang w:val="en-US" w:eastAsia="zh-CN"/>
              </w:rPr>
              <w:t>年</w:t>
            </w:r>
            <w:r>
              <w:rPr>
                <w:rFonts w:hint="eastAsia" w:ascii="Nimbus Roman No9 L" w:hAnsi="Nimbus Roman No9 L" w:eastAsia="仿宋_GB2312" w:cs="Nimbus Roman No9 L"/>
                <w:sz w:val="32"/>
                <w:lang w:val="en-US" w:eastAsia="zh-CN"/>
              </w:rPr>
              <w:t>4</w:t>
            </w:r>
            <w:r>
              <w:rPr>
                <w:rFonts w:hint="eastAsia" w:ascii="仿宋_GB2312" w:eastAsia="仿宋_GB2312"/>
                <w:sz w:val="32"/>
                <w:lang w:val="en-US" w:eastAsia="zh-CN"/>
              </w:rPr>
              <w:t>月</w:t>
            </w:r>
            <w:r>
              <w:rPr>
                <w:rFonts w:hint="eastAsia" w:ascii="Nimbus Roman No9 L" w:hAnsi="Nimbus Roman No9 L" w:eastAsia="仿宋_GB2312" w:cs="Nimbus Roman No9 L"/>
                <w:sz w:val="32"/>
                <w:lang w:val="en-US" w:eastAsia="zh-CN"/>
              </w:rPr>
              <w:t>10</w:t>
            </w:r>
            <w:r>
              <w:rPr>
                <w:rFonts w:hint="eastAsia" w:ascii="仿宋_GB2312" w:eastAsia="仿宋_GB2312"/>
                <w:sz w:val="32"/>
                <w:lang w:val="en-US" w:eastAsia="zh-CN"/>
              </w:rPr>
              <w:t>日</w:t>
            </w:r>
            <w:bookmarkEnd w:id="3"/>
            <w:r>
              <w:rPr>
                <w:rFonts w:hint="eastAsia" w:ascii="仿宋_GB2312" w:eastAsia="仿宋_GB2312"/>
                <w:sz w:val="32"/>
              </w:rPr>
              <w:t xml:space="preserve">   </w:t>
            </w:r>
          </w:p>
        </w:tc>
      </w:tr>
    </w:tbl>
    <w:p>
      <w:pPr>
        <w:spacing w:line="20" w:lineRule="exact"/>
        <w:ind w:right="1151" w:rightChars="548"/>
        <w:rPr>
          <w:rFonts w:hint="eastAsia"/>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34"/>
    <w:family w:val="roman"/>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4BB20E4"/>
    <w:rsid w:val="05FB352C"/>
    <w:rsid w:val="062C73BA"/>
    <w:rsid w:val="0F415A30"/>
    <w:rsid w:val="1A1A2EA1"/>
    <w:rsid w:val="1BE3569F"/>
    <w:rsid w:val="20FE4F37"/>
    <w:rsid w:val="22666FCA"/>
    <w:rsid w:val="23957D52"/>
    <w:rsid w:val="265833FB"/>
    <w:rsid w:val="2A106D0B"/>
    <w:rsid w:val="2BFD0F68"/>
    <w:rsid w:val="2DCA2874"/>
    <w:rsid w:val="377A2E5E"/>
    <w:rsid w:val="37FBD2C5"/>
    <w:rsid w:val="385C0DBD"/>
    <w:rsid w:val="3A57702C"/>
    <w:rsid w:val="3FFB4A4A"/>
    <w:rsid w:val="447E3320"/>
    <w:rsid w:val="45CB5298"/>
    <w:rsid w:val="4B30475B"/>
    <w:rsid w:val="4CA33CB0"/>
    <w:rsid w:val="4D14258D"/>
    <w:rsid w:val="57073EC0"/>
    <w:rsid w:val="59C6063C"/>
    <w:rsid w:val="5B7FFA84"/>
    <w:rsid w:val="5ED08CF3"/>
    <w:rsid w:val="5FDF774C"/>
    <w:rsid w:val="63E612D4"/>
    <w:rsid w:val="693053CC"/>
    <w:rsid w:val="6AB50BAB"/>
    <w:rsid w:val="6CA056C1"/>
    <w:rsid w:val="6D957ABF"/>
    <w:rsid w:val="6EF3CC4F"/>
    <w:rsid w:val="7312333B"/>
    <w:rsid w:val="75561D3A"/>
    <w:rsid w:val="7952225A"/>
    <w:rsid w:val="7BCB9B54"/>
    <w:rsid w:val="7D174045"/>
    <w:rsid w:val="7D3E5313"/>
    <w:rsid w:val="7D906DB7"/>
    <w:rsid w:val="7E674295"/>
    <w:rsid w:val="7EE677E4"/>
    <w:rsid w:val="7FF51C84"/>
    <w:rsid w:val="AE3EF700"/>
    <w:rsid w:val="D1FDFC04"/>
    <w:rsid w:val="D6FF7CA3"/>
    <w:rsid w:val="FFB4DED4"/>
    <w:rsid w:val="FFF3471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7</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2021-04-09T11:49:00Z</dcterms:created>
  <dc:creator>wjc</dc:creator>
  <cp:lastModifiedBy>李长卿</cp:lastModifiedBy>
  <cp:lastPrinted>2024-04-28T03:38:00Z</cp:lastPrinted>
  <dcterms:modified xsi:type="dcterms:W3CDTF">2024-12-18T18:53:09Z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