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64" w:hRule="atLeast"/>
        </w:trPr>
        <w:tc>
          <w:tcPr>
            <w:tcW w:w="5000" w:type="pct"/>
            <w:tcBorders>
              <w:tl2br w:val="nil"/>
              <w:tr2bl w:val="nil"/>
            </w:tcBorders>
            <w:noWrap w:val="0"/>
            <w:vAlign w:val="center"/>
          </w:tcPr>
          <w:p>
            <w:pPr>
              <w:jc w:val="center"/>
              <w:rPr>
                <w:rFonts w:hint="default" w:ascii="Nimbus Roman No9 L" w:hAnsi="Nimbus Roman No9 L" w:eastAsia="宋体"/>
                <w:b/>
                <w:bCs/>
                <w:sz w:val="44"/>
                <w:lang w:val="en-US" w:eastAsia="zh-CN"/>
              </w:rPr>
            </w:pPr>
            <w:bookmarkStart w:id="0" w:name="bt"/>
            <w:r>
              <w:rPr>
                <w:rFonts w:hint="eastAsia" w:ascii="Nimbus Roman No9 L" w:hAnsi="Nimbus Roman No9 L"/>
                <w:b/>
                <w:bCs/>
                <w:sz w:val="44"/>
                <w:lang w:val="en-US" w:eastAsia="zh-CN"/>
              </w:rPr>
              <w:t>对市政协第十五届二次会议</w:t>
            </w:r>
            <w:r>
              <w:rPr>
                <w:rFonts w:hint="eastAsia" w:ascii="Nimbus Roman No9 L" w:hAnsi="Nimbus Roman No9 L"/>
                <w:b/>
                <w:bCs/>
                <w:sz w:val="44"/>
                <w:lang w:val="en-US" w:eastAsia="zh-CN"/>
              </w:rPr>
              <w:br w:type="textWrapping"/>
            </w:r>
            <w:r>
              <w:rPr>
                <w:rFonts w:hint="eastAsia" w:ascii="Nimbus Roman No9 L" w:hAnsi="Nimbus Roman No9 L"/>
                <w:b/>
                <w:bCs/>
                <w:sz w:val="44"/>
                <w:lang w:val="en-US" w:eastAsia="zh-CN"/>
              </w:rPr>
              <w:t>第0</w:t>
            </w:r>
            <w:r>
              <w:rPr>
                <w:rFonts w:hint="default" w:ascii="Nimbus Roman No9 L" w:hAnsi="Nimbus Roman No9 L"/>
                <w:b/>
                <w:bCs/>
                <w:sz w:val="44"/>
                <w:lang w:val="en" w:eastAsia="zh-CN"/>
              </w:rPr>
              <w:t>173</w:t>
            </w:r>
            <w:r>
              <w:rPr>
                <w:rFonts w:hint="eastAsia" w:ascii="Nimbus Roman No9 L" w:hAnsi="Nimbus Roman No9 L"/>
                <w:b/>
                <w:bCs/>
                <w:sz w:val="44"/>
                <w:lang w:val="en-US" w:eastAsia="zh-CN"/>
              </w:rPr>
              <w:t>号提案的办理答复</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ind w:right="105" w:rightChars="50"/>
              <w:rPr>
                <w:rFonts w:ascii="Nimbus Roman No9 L" w:hAnsi="Nimbus Roman No9 L" w:eastAsia="仿宋_GB2312"/>
                <w:sz w:val="32"/>
              </w:rPr>
            </w:pPr>
            <w:r>
              <w:rPr>
                <w:rFonts w:hint="eastAsia" w:ascii="Nimbus Roman No9 L" w:hAnsi="Nimbus Roman No9 L" w:eastAsia="仿宋_GB2312" w:cs="Nimbus Roman No9 L"/>
                <w:sz w:val="32"/>
                <w:szCs w:val="32"/>
                <w:lang w:val="en-US" w:eastAsia="zh-CN"/>
              </w:rPr>
              <w:t>民革天津市委会</w:t>
            </w:r>
            <w:r>
              <w:rPr>
                <w:rFonts w:ascii="Nimbus Roman No9 L" w:hAnsi="Nimbus Roman No9 L" w:eastAsia="仿宋_GB2312"/>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rPr>
                <w:rFonts w:ascii="Nimbus Roman No9 L" w:hAnsi="Nimbus Roman No9 L" w:eastAsia="仿宋_GB2312"/>
                <w:sz w:val="32"/>
              </w:rPr>
            </w:pPr>
            <w:r>
              <w:rPr>
                <w:rFonts w:ascii="Nimbus Roman No9 L" w:hAnsi="Nimbus Roman No9 L" w:eastAsia="仿宋_GB2312"/>
                <w:sz w:val="32"/>
                <w:szCs w:val="18"/>
              </w:rPr>
              <w:t>　　</w:t>
            </w:r>
            <w:bookmarkStart w:id="1" w:name="shuo"/>
            <w:r>
              <w:rPr>
                <w:rFonts w:hint="eastAsia" w:eastAsia="仿宋_GB2312"/>
                <w:sz w:val="32"/>
                <w:szCs w:val="18"/>
                <w:lang w:val="en-US" w:eastAsia="zh-CN"/>
              </w:rPr>
              <w:t>贵党派提出的关于聚焦科教兴市人才强市行动助推我市实施揭榜挂帅机制的提案</w:t>
            </w:r>
            <w:r>
              <w:rPr>
                <w:rFonts w:hint="default" w:ascii="Nimbus Roman No9 L" w:hAnsi="Nimbus Roman No9 L" w:eastAsia="仿宋_GB2312" w:cs="Nimbus Roman No9 L"/>
                <w:sz w:val="32"/>
                <w:szCs w:val="32"/>
                <w:lang w:val="en-US" w:eastAsia="zh-CN"/>
              </w:rPr>
              <w:t>，经会同</w:t>
            </w:r>
            <w:r>
              <w:rPr>
                <w:rFonts w:hint="eastAsia" w:ascii="Nimbus Roman No9 L" w:hAnsi="Nimbus Roman No9 L" w:eastAsia="仿宋_GB2312" w:cs="Nimbus Roman No9 L"/>
                <w:sz w:val="32"/>
                <w:szCs w:val="32"/>
                <w:lang w:val="en-US" w:eastAsia="zh-CN"/>
              </w:rPr>
              <w:t>市人社局</w:t>
            </w:r>
            <w:r>
              <w:rPr>
                <w:rFonts w:hint="default" w:ascii="Nimbus Roman No9 L" w:hAnsi="Nimbus Roman No9 L" w:eastAsia="仿宋_GB2312" w:cs="Nimbus Roman No9 L"/>
                <w:sz w:val="32"/>
                <w:szCs w:val="32"/>
                <w:lang w:val="en-US" w:eastAsia="zh-CN"/>
              </w:rPr>
              <w:t>研究答复如下</w:t>
            </w:r>
            <w:bookmarkEnd w:id="1"/>
            <w:r>
              <w:rPr>
                <w:rFonts w:ascii="Nimbus Roman No9 L" w:hAnsi="Nimbus Roman No9 L" w:eastAsia="仿宋_GB2312"/>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spacing w:line="560" w:lineRule="exact"/>
              <w:ind w:left="0" w:leftChars="0" w:right="105" w:rightChars="50" w:firstLine="640" w:firstLineChars="200"/>
              <w:rPr>
                <w:rFonts w:hint="eastAsia" w:ascii="Nimbus Roman No9 L" w:hAnsi="Nimbus Roman No9 L" w:eastAsia="仿宋_GB2312"/>
                <w:sz w:val="32"/>
                <w:lang w:val="en-US" w:eastAsia="zh-CN"/>
              </w:rPr>
            </w:pPr>
            <w:r>
              <w:rPr>
                <w:rFonts w:hint="eastAsia" w:ascii="Nimbus Roman No9 L" w:hAnsi="Nimbus Roman No9 L" w:eastAsia="仿宋_GB2312"/>
                <w:sz w:val="32"/>
                <w:lang w:val="en-US" w:eastAsia="zh-CN"/>
              </w:rPr>
              <w:t>为大力实施科教兴市人才强市行动，进一步深化科技体制机制创新，我市聚焦项目形成机制和组织方式改革，研究制定《重大科技项目“揭榜挂帅”组织实施方案》，以“揭榜挂帅”的新模式新机制，推进重大战略任务实施。先后组织实施纯太阳能车重大科技项目、医工结合重大专项、进口冷链全流程消毒技术开发及应用示范重大项目，同时下放市级“揭榜挂帅”科技计划项目立项权限，鼓励有关区组织重点企业研究提出重大创新需求或场景设计，组织“揭榜挂帅”项目，加快攻克了一批制约我市高质量发展的关键核心技术。</w:t>
            </w:r>
          </w:p>
          <w:p>
            <w:pPr>
              <w:spacing w:line="560" w:lineRule="exact"/>
              <w:ind w:left="0" w:leftChars="0" w:right="105" w:rightChars="50" w:firstLine="640" w:firstLineChars="200"/>
              <w:rPr>
                <w:rFonts w:hint="eastAsia" w:ascii="Nimbus Roman No9 L" w:hAnsi="Nimbus Roman No9 L" w:eastAsia="仿宋_GB2312"/>
                <w:sz w:val="32"/>
                <w:lang w:val="en-US" w:eastAsia="zh-CN"/>
              </w:rPr>
            </w:pPr>
            <w:r>
              <w:rPr>
                <w:rFonts w:hint="eastAsia" w:eastAsia="仿宋_GB2312"/>
                <w:sz w:val="32"/>
                <w:szCs w:val="18"/>
                <w:lang w:val="en-US" w:eastAsia="zh-CN"/>
              </w:rPr>
              <w:t>贵党派</w:t>
            </w:r>
            <w:r>
              <w:rPr>
                <w:rFonts w:hint="eastAsia" w:ascii="Nimbus Roman No9 L" w:hAnsi="Nimbus Roman No9 L" w:eastAsia="仿宋_GB2312"/>
                <w:sz w:val="32"/>
                <w:lang w:val="en-US" w:eastAsia="zh-CN"/>
              </w:rPr>
              <w:t>提出的“梳理厘清一批重大课题”、“提升供求对接匹配效率”、“加强技术供给市场调研”、“完善人才选拔激励机制”等建议，对我市深入实施“揭榜挂帅”机制具有很强的指导意义和借鉴价值。下一步，我市将从以下方面予以落实推动：</w:t>
            </w:r>
          </w:p>
          <w:p>
            <w:pPr>
              <w:spacing w:line="560" w:lineRule="exact"/>
              <w:ind w:left="0" w:leftChars="0" w:right="105" w:rightChars="50" w:firstLine="640" w:firstLineChars="200"/>
              <w:rPr>
                <w:rFonts w:hint="eastAsia" w:ascii="Nimbus Roman No9 L" w:hAnsi="Nimbus Roman No9 L" w:eastAsia="黑体" w:cs="黑体"/>
                <w:sz w:val="32"/>
                <w:lang w:val="en-US" w:eastAsia="zh-CN"/>
              </w:rPr>
            </w:pPr>
            <w:r>
              <w:rPr>
                <w:rFonts w:hint="eastAsia" w:ascii="Nimbus Roman No9 L" w:hAnsi="Nimbus Roman No9 L" w:eastAsia="黑体" w:cs="黑体"/>
                <w:sz w:val="32"/>
                <w:lang w:val="en-US" w:eastAsia="zh-CN"/>
              </w:rPr>
              <w:t>一、关于“梳理厘清一批重大课题”的建议</w:t>
            </w:r>
          </w:p>
          <w:p>
            <w:pPr>
              <w:spacing w:line="560" w:lineRule="exact"/>
              <w:ind w:left="0" w:leftChars="0" w:right="105" w:rightChars="50" w:firstLine="640" w:firstLineChars="200"/>
              <w:rPr>
                <w:rFonts w:hint="eastAsia" w:ascii="Nimbus Roman No9 L" w:hAnsi="Nimbus Roman No9 L" w:eastAsia="仿宋_GB2312" w:cs="Times New Roman"/>
                <w:sz w:val="32"/>
                <w:szCs w:val="18"/>
                <w:lang w:val="en-US" w:eastAsia="zh-CN"/>
              </w:rPr>
            </w:pPr>
            <w:r>
              <w:rPr>
                <w:rFonts w:hint="eastAsia" w:ascii="Nimbus Roman No9 L" w:hAnsi="Nimbus Roman No9 L" w:eastAsia="仿宋_GB2312"/>
                <w:sz w:val="32"/>
                <w:lang w:val="en-US" w:eastAsia="zh-CN"/>
              </w:rPr>
              <w:t>目前，我市正深入贯彻落实习近平总书记视察天津重要讲话精神，坚持科技创新和产业创新一起抓，大力培育发展新质生产力。为做好此项工作，我市把加快重点产业和领域关键核心技术攻关作为重要举措和抓手，</w:t>
            </w:r>
            <w:r>
              <w:rPr>
                <w:rFonts w:hint="eastAsia" w:ascii="Nimbus Roman No9 L" w:hAnsi="Nimbus Roman No9 L" w:eastAsia="仿宋_GB2312" w:cs="Times New Roman"/>
                <w:sz w:val="32"/>
                <w:szCs w:val="18"/>
                <w:lang w:val="en-US" w:eastAsia="zh-CN"/>
              </w:rPr>
              <w:t>启动实施了卡点技术攻关项目。通过筛选攻关突击队企业、征集攻关方向及细分领域、重点揭榜目标发布及张榜招帅等工作，已在生物医药、高端装备、车联网等8个重点方向开展了关键卡点技术产品攻关工作，并利用天津市智能制造、高质量专项等予以项目支持。</w:t>
            </w:r>
          </w:p>
          <w:p>
            <w:pPr>
              <w:spacing w:line="560" w:lineRule="exact"/>
              <w:ind w:left="0" w:leftChars="0" w:right="105" w:rightChars="50" w:firstLine="640" w:firstLineChars="200"/>
              <w:rPr>
                <w:rFonts w:hint="eastAsia" w:ascii="Nimbus Roman No9 L" w:hAnsi="Nimbus Roman No9 L" w:eastAsia="仿宋_GB2312"/>
                <w:sz w:val="32"/>
                <w:lang w:val="en-US" w:eastAsia="zh-CN"/>
              </w:rPr>
            </w:pPr>
            <w:r>
              <w:rPr>
                <w:rFonts w:hint="eastAsia" w:ascii="Nimbus Roman No9 L" w:hAnsi="Nimbus Roman No9 L" w:eastAsia="仿宋_GB2312"/>
                <w:sz w:val="32"/>
                <w:lang w:val="en-US" w:eastAsia="zh-CN"/>
              </w:rPr>
              <w:t>结合</w:t>
            </w:r>
            <w:r>
              <w:rPr>
                <w:rFonts w:hint="eastAsia" w:eastAsia="仿宋_GB2312"/>
                <w:sz w:val="32"/>
                <w:szCs w:val="18"/>
                <w:lang w:val="en-US" w:eastAsia="zh-CN"/>
              </w:rPr>
              <w:t>贵党派</w:t>
            </w:r>
            <w:r>
              <w:rPr>
                <w:rFonts w:hint="eastAsia" w:ascii="Nimbus Roman No9 L" w:hAnsi="Nimbus Roman No9 L" w:eastAsia="仿宋_GB2312"/>
                <w:sz w:val="32"/>
                <w:lang w:val="en-US" w:eastAsia="zh-CN"/>
              </w:rPr>
              <w:t>的建议，下一步，我市将强化顶层设计，做好重大需求梳理凝练。</w:t>
            </w:r>
            <w:r>
              <w:rPr>
                <w:rFonts w:hint="eastAsia" w:ascii="Nimbus Roman No9 L" w:hAnsi="Nimbus Roman No9 L" w:eastAsia="仿宋_GB2312"/>
                <w:b/>
                <w:bCs/>
                <w:sz w:val="32"/>
                <w:lang w:val="en-US" w:eastAsia="zh-CN"/>
              </w:rPr>
              <w:t>一是</w:t>
            </w:r>
            <w:r>
              <w:rPr>
                <w:rFonts w:hint="eastAsia" w:ascii="Nimbus Roman No9 L" w:hAnsi="Nimbus Roman No9 L" w:eastAsia="仿宋_GB2312"/>
                <w:sz w:val="32"/>
                <w:lang w:val="en-US" w:eastAsia="zh-CN"/>
              </w:rPr>
              <w:t>在现有“揭榜挂帅”组织工作基础上，围绕信创、高端装备、汽车、石化等重点产业链，进一步细化细分领域，在攻关突击队企业前期攻关方向及细分领域征集的基础上，会同各产业链专班及行业专家，进一步深入研究和综合评定，最终确定攻关方向和细分领域；</w:t>
            </w:r>
            <w:r>
              <w:rPr>
                <w:rFonts w:hint="eastAsia" w:ascii="Nimbus Roman No9 L" w:hAnsi="Nimbus Roman No9 L" w:eastAsia="仿宋_GB2312"/>
                <w:b/>
                <w:bCs/>
                <w:sz w:val="32"/>
                <w:lang w:val="en-US" w:eastAsia="zh-CN"/>
              </w:rPr>
              <w:t>二是</w:t>
            </w:r>
            <w:r>
              <w:rPr>
                <w:rFonts w:hint="eastAsia" w:ascii="Nimbus Roman No9 L" w:hAnsi="Nimbus Roman No9 L" w:eastAsia="仿宋_GB2312"/>
                <w:sz w:val="32"/>
                <w:lang w:val="en-US" w:eastAsia="zh-CN"/>
              </w:rPr>
              <w:t>优化关键技术攻关方向布局，常态化公开征集技术攻关需求，作为创新任务和项目布局的决策参考。</w:t>
            </w:r>
          </w:p>
          <w:p>
            <w:pPr>
              <w:spacing w:line="560" w:lineRule="exact"/>
              <w:ind w:left="0" w:leftChars="0" w:right="105" w:rightChars="50" w:firstLine="640" w:firstLineChars="200"/>
              <w:rPr>
                <w:rFonts w:hint="eastAsia" w:ascii="Nimbus Roman No9 L" w:hAnsi="Nimbus Roman No9 L" w:eastAsia="黑体" w:cs="黑体"/>
                <w:sz w:val="32"/>
                <w:lang w:val="en-US" w:eastAsia="zh-CN"/>
              </w:rPr>
            </w:pPr>
            <w:r>
              <w:rPr>
                <w:rFonts w:hint="eastAsia" w:ascii="Nimbus Roman No9 L" w:hAnsi="Nimbus Roman No9 L" w:eastAsia="黑体" w:cs="黑体"/>
                <w:sz w:val="32"/>
                <w:lang w:val="en-US" w:eastAsia="zh-CN"/>
              </w:rPr>
              <w:t>二、关于“提升供求对接匹配效率”的建议</w:t>
            </w:r>
          </w:p>
          <w:p>
            <w:pPr>
              <w:spacing w:line="560" w:lineRule="exact"/>
              <w:ind w:left="0" w:leftChars="0" w:right="105" w:rightChars="50" w:firstLine="640" w:firstLineChars="200"/>
              <w:rPr>
                <w:rFonts w:hint="eastAsia" w:ascii="Nimbus Roman No9 L" w:hAnsi="Nimbus Roman No9 L" w:eastAsia="仿宋_GB2312"/>
                <w:sz w:val="32"/>
                <w:lang w:val="en-US" w:eastAsia="zh-CN"/>
              </w:rPr>
            </w:pPr>
            <w:r>
              <w:rPr>
                <w:rFonts w:hint="eastAsia" w:ascii="Nimbus Roman No9 L" w:hAnsi="Nimbus Roman No9 L" w:eastAsia="仿宋_GB2312"/>
                <w:sz w:val="32"/>
                <w:lang w:val="en-US" w:eastAsia="zh-CN"/>
              </w:rPr>
              <w:t>为促进供需双方充分对接，结合贵党派的建议，下一步，我市将多渠道搭建对接平台，</w:t>
            </w:r>
            <w:r>
              <w:rPr>
                <w:rFonts w:hint="eastAsia" w:ascii="Nimbus Roman No9 L" w:hAnsi="Nimbus Roman No9 L" w:eastAsia="仿宋_GB2312"/>
                <w:b/>
                <w:bCs/>
                <w:sz w:val="32"/>
                <w:lang w:val="en-US" w:eastAsia="zh-CN"/>
              </w:rPr>
              <w:t>一是</w:t>
            </w:r>
            <w:r>
              <w:rPr>
                <w:rFonts w:hint="eastAsia" w:ascii="Nimbus Roman No9 L" w:hAnsi="Nimbus Roman No9 L" w:eastAsia="仿宋_GB2312"/>
                <w:sz w:val="32"/>
                <w:lang w:val="en-US" w:eastAsia="zh-CN"/>
              </w:rPr>
              <w:t>推进京津冀国家技术创新中心天津中心建设，将关键核心技术需求通过京津冀国家技术创新中心“张榜”，吸引北京优势科研力量，开展关键核心技术攻关；</w:t>
            </w:r>
            <w:r>
              <w:rPr>
                <w:rFonts w:hint="eastAsia" w:ascii="Nimbus Roman No9 L" w:hAnsi="Nimbus Roman No9 L" w:eastAsia="仿宋_GB2312"/>
                <w:b/>
                <w:bCs/>
                <w:sz w:val="32"/>
                <w:lang w:val="en-US" w:eastAsia="zh-CN"/>
              </w:rPr>
              <w:t>二是</w:t>
            </w:r>
            <w:r>
              <w:rPr>
                <w:rFonts w:hint="eastAsia" w:ascii="Nimbus Roman No9 L" w:hAnsi="Nimbus Roman No9 L" w:eastAsia="仿宋_GB2312"/>
                <w:sz w:val="32"/>
                <w:lang w:val="en-US" w:eastAsia="zh-CN"/>
              </w:rPr>
              <w:t>建成京津冀成果网，在线发布三地供需清单，聚焦重点产业链和企业需求，提升供求对接匹配效率。</w:t>
            </w:r>
          </w:p>
          <w:p>
            <w:pPr>
              <w:spacing w:line="560" w:lineRule="exact"/>
              <w:ind w:left="0" w:leftChars="0" w:right="105" w:rightChars="50" w:firstLine="640" w:firstLineChars="200"/>
              <w:rPr>
                <w:rFonts w:hint="eastAsia" w:ascii="Nimbus Roman No9 L" w:hAnsi="Nimbus Roman No9 L" w:eastAsia="黑体" w:cs="黑体"/>
                <w:sz w:val="32"/>
                <w:lang w:val="en-US" w:eastAsia="zh-CN"/>
              </w:rPr>
            </w:pPr>
            <w:r>
              <w:rPr>
                <w:rFonts w:hint="eastAsia" w:ascii="Nimbus Roman No9 L" w:hAnsi="Nimbus Roman No9 L" w:eastAsia="黑体" w:cs="黑体"/>
                <w:sz w:val="32"/>
                <w:lang w:val="en-US" w:eastAsia="zh-CN"/>
              </w:rPr>
              <w:t>三、关于“加强技术供给市场调研”的建议</w:t>
            </w:r>
          </w:p>
          <w:p>
            <w:pPr>
              <w:spacing w:line="560" w:lineRule="exact"/>
              <w:ind w:left="0" w:leftChars="0" w:right="105" w:rightChars="50" w:firstLine="640" w:firstLineChars="200"/>
              <w:rPr>
                <w:rFonts w:hint="eastAsia" w:ascii="Nimbus Roman No9 L" w:hAnsi="Nimbus Roman No9 L" w:eastAsia="仿宋_GB2312"/>
                <w:sz w:val="32"/>
                <w:lang w:val="en-US" w:eastAsia="zh-CN"/>
              </w:rPr>
            </w:pPr>
            <w:r>
              <w:rPr>
                <w:rFonts w:hint="eastAsia" w:ascii="Nimbus Roman No9 L" w:hAnsi="Nimbus Roman No9 L" w:eastAsia="仿宋_GB2312"/>
                <w:sz w:val="32"/>
                <w:lang w:val="en-US" w:eastAsia="zh-CN"/>
              </w:rPr>
              <w:t>2023年，市科技局持续推行“企业出题 能者破题”研发众包新模式，组织中国汽车技术研究中心、国家合成生物技术创新中心成功举办第八届中国创新挑战赛新能源汽车产业赛、生物制造技术专题赛。依托挑战赛官网、行业媒体等线上平台，采取公开发布和定向推送相结合的方式，通过科服网·天津成果网、技术转移机构交流平台和成果转化网络公开征集解决方案。赛事期间累计公开发布需求172项，征集解决方案188项。通过线上线下走访对接企业，以及组织各类专场对接会、技术需求对接会、科技成果发布会等活动，推动企业和科研单位达成合作，促进高校院所的科技研发与市场需求紧密结合。</w:t>
            </w:r>
          </w:p>
          <w:p>
            <w:pPr>
              <w:spacing w:line="560" w:lineRule="exact"/>
              <w:ind w:left="0" w:leftChars="0" w:right="105" w:rightChars="50" w:firstLine="640" w:firstLineChars="200"/>
              <w:rPr>
                <w:rFonts w:hint="eastAsia" w:ascii="Nimbus Roman No9 L" w:hAnsi="Nimbus Roman No9 L" w:eastAsia="仿宋_GB2312"/>
                <w:sz w:val="32"/>
                <w:lang w:val="en-US" w:eastAsia="zh-CN"/>
              </w:rPr>
            </w:pPr>
            <w:r>
              <w:rPr>
                <w:rFonts w:hint="eastAsia" w:ascii="Nimbus Roman No9 L" w:hAnsi="Nimbus Roman No9 L" w:eastAsia="仿宋_GB2312" w:cs="Times New Roman"/>
                <w:sz w:val="32"/>
                <w:lang w:val="en-US" w:eastAsia="zh-CN"/>
              </w:rPr>
              <w:t>结合</w:t>
            </w:r>
            <w:r>
              <w:rPr>
                <w:rFonts w:hint="eastAsia" w:eastAsia="仿宋_GB2312"/>
                <w:sz w:val="32"/>
                <w:szCs w:val="18"/>
                <w:lang w:val="en-US" w:eastAsia="zh-CN"/>
              </w:rPr>
              <w:t>贵党派</w:t>
            </w:r>
            <w:r>
              <w:rPr>
                <w:rFonts w:hint="eastAsia" w:ascii="Nimbus Roman No9 L" w:hAnsi="Nimbus Roman No9 L" w:eastAsia="仿宋_GB2312" w:cs="Times New Roman"/>
                <w:sz w:val="32"/>
                <w:lang w:val="en-US" w:eastAsia="zh-CN"/>
              </w:rPr>
              <w:t>的建议</w:t>
            </w:r>
            <w:r>
              <w:rPr>
                <w:rFonts w:hint="eastAsia" w:ascii="Nimbus Roman No9 L" w:hAnsi="Nimbus Roman No9 L" w:eastAsia="仿宋_GB2312"/>
                <w:sz w:val="32"/>
                <w:lang w:val="en-US" w:eastAsia="zh-CN"/>
              </w:rPr>
              <w:t>，我市下一步将做好三方面工作，</w:t>
            </w:r>
            <w:r>
              <w:rPr>
                <w:rFonts w:hint="eastAsia" w:ascii="Nimbus Roman No9 L" w:hAnsi="Nimbus Roman No9 L" w:eastAsia="仿宋_GB2312"/>
                <w:b/>
                <w:bCs/>
                <w:sz w:val="32"/>
                <w:lang w:val="en-US" w:eastAsia="zh-CN"/>
              </w:rPr>
              <w:t>一是</w:t>
            </w:r>
            <w:r>
              <w:rPr>
                <w:rFonts w:hint="eastAsia" w:ascii="Nimbus Roman No9 L" w:hAnsi="Nimbus Roman No9 L" w:eastAsia="仿宋_GB2312"/>
                <w:sz w:val="32"/>
                <w:lang w:val="en-US" w:eastAsia="zh-CN"/>
              </w:rPr>
              <w:t>进一步依托京津冀成果网，加快推动科技成果转移转化；</w:t>
            </w:r>
            <w:r>
              <w:rPr>
                <w:rFonts w:hint="eastAsia" w:ascii="Nimbus Roman No9 L" w:hAnsi="Nimbus Roman No9 L" w:eastAsia="仿宋_GB2312"/>
                <w:b/>
                <w:bCs/>
                <w:sz w:val="32"/>
                <w:lang w:val="en-US" w:eastAsia="zh-CN"/>
              </w:rPr>
              <w:t>二是</w:t>
            </w:r>
            <w:r>
              <w:rPr>
                <w:rFonts w:hint="eastAsia" w:ascii="Nimbus Roman No9 L" w:hAnsi="Nimbus Roman No9 L" w:eastAsia="仿宋_GB2312"/>
                <w:sz w:val="32"/>
                <w:lang w:val="en-US" w:eastAsia="zh-CN"/>
              </w:rPr>
              <w:t>高水平举办“科技成果俏津门”成果交易对接会等系列品牌活动，推动技术交易市场持续活跃；</w:t>
            </w:r>
            <w:r>
              <w:rPr>
                <w:rFonts w:hint="eastAsia" w:ascii="Nimbus Roman No9 L" w:hAnsi="Nimbus Roman No9 L" w:eastAsia="仿宋_GB2312"/>
                <w:b/>
                <w:bCs/>
                <w:sz w:val="32"/>
                <w:lang w:val="en-US" w:eastAsia="zh-CN"/>
              </w:rPr>
              <w:t>三是</w:t>
            </w:r>
            <w:r>
              <w:rPr>
                <w:rFonts w:hint="eastAsia" w:ascii="Nimbus Roman No9 L" w:hAnsi="Nimbus Roman No9 L" w:eastAsia="仿宋_GB2312"/>
                <w:sz w:val="32"/>
                <w:lang w:val="en-US" w:eastAsia="zh-CN"/>
              </w:rPr>
              <w:t>做实京津冀国家技术创新中心天津中心，与河北中心、雄安中心建立协同创新网络，共同开展颠覆性技术创新项目遴选和产业关键技术攻关，加速前沿技术转化、孵化、产业化。</w:t>
            </w:r>
          </w:p>
          <w:p>
            <w:pPr>
              <w:spacing w:line="560" w:lineRule="exact"/>
              <w:ind w:left="0" w:leftChars="0" w:right="105" w:rightChars="50" w:firstLine="640" w:firstLineChars="200"/>
              <w:rPr>
                <w:rFonts w:hint="eastAsia" w:ascii="Nimbus Roman No9 L" w:hAnsi="Nimbus Roman No9 L" w:eastAsia="黑体" w:cs="黑体"/>
                <w:sz w:val="32"/>
                <w:lang w:val="en-US" w:eastAsia="zh-CN"/>
              </w:rPr>
            </w:pPr>
            <w:r>
              <w:rPr>
                <w:rFonts w:hint="eastAsia" w:ascii="Nimbus Roman No9 L" w:hAnsi="Nimbus Roman No9 L" w:eastAsia="黑体" w:cs="黑体"/>
                <w:sz w:val="32"/>
                <w:lang w:val="en-US" w:eastAsia="zh-CN"/>
              </w:rPr>
              <w:t>四、关于“完善人才选拔激励机制”的建议</w:t>
            </w:r>
          </w:p>
          <w:p>
            <w:pPr>
              <w:spacing w:line="560" w:lineRule="exact"/>
              <w:ind w:left="0" w:leftChars="0" w:right="105" w:rightChars="50" w:firstLine="640" w:firstLineChars="200"/>
              <w:rPr>
                <w:rFonts w:hint="eastAsia" w:ascii="Nimbus Roman No9 L" w:hAnsi="Nimbus Roman No9 L" w:eastAsia="仿宋_GB2312"/>
                <w:sz w:val="32"/>
                <w:lang w:val="en-US" w:eastAsia="zh-CN"/>
              </w:rPr>
            </w:pPr>
            <w:r>
              <w:rPr>
                <w:rFonts w:hint="eastAsia" w:ascii="Nimbus Roman No9 L" w:hAnsi="Nimbus Roman No9 L" w:eastAsia="仿宋_GB2312"/>
                <w:sz w:val="32"/>
                <w:lang w:val="en-US" w:eastAsia="zh-CN"/>
              </w:rPr>
              <w:t>从2022年起，按照全国博士后管委会办公室、中国博士后科学基金会要求，市人社局建立博士后揭榜领题长效机制，开展博士后揭榜领题常态化活动，推进博士后科研成果与企业需求深入对接，激发博士后创新潜能，释放博士后创业活力，围绕十大产业人才创新创业联盟、12条重点产业链和海河实验室建设，聚焦我市科技型企业、科研院所和重点实验室技术难题科研攻关和技术升级需求，推进“卡脖子”关键技术难题破解和博士后科研成果转化。已连续两届在天津市“海河英才”创新创业大赛博士后创新创业赛中设置揭榜领题赛，并将其中优秀项目推荐参加全国博士后创新创业大赛。对大赛获奖人员给予包含赛事奖金、人才项目申报、职称评审、金融支持、人才引进等十方面的激励措施。</w:t>
            </w:r>
          </w:p>
          <w:p>
            <w:pPr>
              <w:spacing w:line="560" w:lineRule="exact"/>
              <w:ind w:left="0" w:leftChars="0" w:right="105" w:rightChars="50" w:firstLine="640" w:firstLineChars="200"/>
              <w:rPr>
                <w:rFonts w:hint="default" w:ascii="Nimbus Roman No9 L" w:hAnsi="Nimbus Roman No9 L" w:eastAsia="仿宋_GB2312"/>
                <w:sz w:val="32"/>
                <w:lang w:val="en-US" w:eastAsia="zh-CN"/>
              </w:rPr>
            </w:pPr>
            <w:r>
              <w:rPr>
                <w:rFonts w:hint="eastAsia" w:ascii="Nimbus Roman No9 L" w:hAnsi="Nimbus Roman No9 L" w:eastAsia="仿宋_GB2312" w:cs="Times New Roman"/>
                <w:sz w:val="32"/>
                <w:lang w:val="en-US" w:eastAsia="zh-CN"/>
              </w:rPr>
              <w:t>结合</w:t>
            </w:r>
            <w:r>
              <w:rPr>
                <w:rFonts w:hint="eastAsia" w:eastAsia="仿宋_GB2312"/>
                <w:sz w:val="32"/>
                <w:szCs w:val="18"/>
                <w:lang w:val="en-US" w:eastAsia="zh-CN"/>
              </w:rPr>
              <w:t>贵党派</w:t>
            </w:r>
            <w:r>
              <w:rPr>
                <w:rFonts w:hint="eastAsia" w:ascii="Nimbus Roman No9 L" w:hAnsi="Nimbus Roman No9 L" w:eastAsia="仿宋_GB2312" w:cs="Times New Roman"/>
                <w:sz w:val="32"/>
                <w:lang w:val="en-US" w:eastAsia="zh-CN"/>
              </w:rPr>
              <w:t>的建议，下一步我市将进一步优化完善激励机制，</w:t>
            </w:r>
            <w:r>
              <w:rPr>
                <w:rFonts w:hint="eastAsia" w:ascii="Nimbus Roman No9 L" w:hAnsi="Nimbus Roman No9 L" w:eastAsia="仿宋_GB2312"/>
                <w:b/>
                <w:bCs/>
                <w:sz w:val="32"/>
                <w:lang w:val="en-US" w:eastAsia="zh-CN"/>
              </w:rPr>
              <w:t>一是</w:t>
            </w:r>
            <w:r>
              <w:rPr>
                <w:rFonts w:hint="eastAsia" w:ascii="Nimbus Roman No9 L" w:hAnsi="Nimbus Roman No9 L" w:eastAsia="仿宋_GB2312" w:cs="Times New Roman"/>
                <w:sz w:val="32"/>
                <w:lang w:val="en-US" w:eastAsia="zh-CN"/>
              </w:rPr>
              <w:t>深化高校教师分类评价改革，坚持重业绩评价导向，推行代表性成果评价，建立以创新性和贡献度为核心的评价机制。鼓励高校人才承担社会责任，将参与科学研究、科技推广、成果转化、横向课题等方面的工作纳入职称评审和考核评价的范围；</w:t>
            </w:r>
            <w:r>
              <w:rPr>
                <w:rFonts w:hint="eastAsia" w:ascii="Nimbus Roman No9 L" w:hAnsi="Nimbus Roman No9 L" w:eastAsia="仿宋_GB2312"/>
                <w:b/>
                <w:bCs/>
                <w:sz w:val="32"/>
                <w:lang w:val="en-US" w:eastAsia="zh-CN"/>
              </w:rPr>
              <w:t>二是</w:t>
            </w:r>
            <w:r>
              <w:rPr>
                <w:rFonts w:hint="eastAsia" w:ascii="Nimbus Roman No9 L" w:hAnsi="Nimbus Roman No9 L" w:eastAsia="仿宋_GB2312" w:cs="Times New Roman"/>
                <w:sz w:val="32"/>
                <w:lang w:val="en-US" w:eastAsia="zh-CN"/>
              </w:rPr>
              <w:t>鼓励高校教师创新创业，支持和鼓励高校教师联合企业工程技术人员成立以“科学家+工程师”团队，通过“揭榜挂帅”、技术总师团队负责制、军令状等方式承担企业重大攻关项目；</w:t>
            </w:r>
            <w:r>
              <w:rPr>
                <w:rFonts w:hint="eastAsia" w:ascii="Nimbus Roman No9 L" w:hAnsi="Nimbus Roman No9 L" w:eastAsia="仿宋_GB2312"/>
                <w:b/>
                <w:bCs/>
                <w:sz w:val="32"/>
                <w:lang w:val="en-US" w:eastAsia="zh-CN"/>
              </w:rPr>
              <w:t>三是</w:t>
            </w:r>
            <w:r>
              <w:rPr>
                <w:rFonts w:hint="eastAsia" w:ascii="Nimbus Roman No9 L" w:hAnsi="Nimbus Roman No9 L" w:eastAsia="仿宋_GB2312" w:cs="Times New Roman"/>
                <w:sz w:val="32"/>
                <w:lang w:val="en-US" w:eastAsia="zh-CN"/>
              </w:rPr>
              <w:t>完善重大创新容错机制，对受市场风险或其他不可抗拒因素影响导致榜单指标未能完成的，如科研团队确已做到履职尽责，本着鼓励创新、宽容失败的原则，经组织专家评议，可对其予以免责。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480" w:lineRule="exact"/>
              <w:ind w:right="105" w:rightChars="50"/>
              <w:jc w:val="both"/>
              <w:rPr>
                <w:rFonts w:hint="eastAsia" w:ascii="Nimbus Roman No9 L" w:hAnsi="Nimbus Roman No9 L" w:eastAsia="仿宋_GB2312"/>
                <w:sz w:val="32"/>
              </w:rPr>
            </w:pPr>
          </w:p>
          <w:p>
            <w:pPr>
              <w:pStyle w:val="2"/>
              <w:rPr>
                <w:rFonts w:hint="eastAsia" w:ascii="Nimbus Roman No9 L" w:hAnsi="Nimbus Roman No9 L" w:eastAsia="仿宋_GB2312"/>
                <w:sz w:val="32"/>
              </w:rPr>
            </w:pPr>
          </w:p>
          <w:p>
            <w:pPr>
              <w:pStyle w:val="2"/>
              <w:rPr>
                <w:rFonts w:hint="eastAsia" w:ascii="Nimbus Roman No9 L" w:hAnsi="Nimbus Roman No9 L" w:eastAsia="仿宋_GB2312"/>
                <w:sz w:val="32"/>
              </w:rPr>
            </w:pPr>
          </w:p>
          <w:p>
            <w:pPr>
              <w:spacing w:line="480" w:lineRule="exact"/>
              <w:ind w:right="105" w:rightChars="50"/>
              <w:jc w:val="center"/>
              <w:rPr>
                <w:rFonts w:hint="eastAsia" w:ascii="Nimbus Roman No9 L" w:hAnsi="Nimbus Roman No9 L" w:eastAsia="仿宋_GB2312"/>
                <w:sz w:val="32"/>
              </w:rPr>
            </w:pPr>
            <w:bookmarkStart w:id="2" w:name="now"/>
            <w:r>
              <w:rPr>
                <w:rFonts w:hint="eastAsia" w:ascii="Nimbus Roman No9 L" w:hAnsi="Nimbus Roman No9 L" w:eastAsia="仿宋_GB2312"/>
                <w:sz w:val="32"/>
                <w:lang w:val="en-US" w:eastAsia="zh-CN"/>
              </w:rPr>
              <w:t xml:space="preserve">                          </w:t>
            </w:r>
            <w:r>
              <w:rPr>
                <w:rFonts w:hint="default" w:ascii="Nimbus Roman No9 L" w:hAnsi="Nimbus Roman No9 L" w:eastAsia="仿宋_GB2312" w:cs="Nimbus Roman No9 L"/>
                <w:sz w:val="32"/>
                <w:lang w:val="en-US" w:eastAsia="zh-CN"/>
              </w:rPr>
              <w:t>2024</w:t>
            </w:r>
            <w:r>
              <w:rPr>
                <w:rFonts w:hint="eastAsia" w:ascii="Nimbus Roman No9 L" w:hAnsi="Nimbus Roman No9 L" w:eastAsia="仿宋_GB2312"/>
                <w:sz w:val="32"/>
                <w:lang w:val="en-US" w:eastAsia="zh-CN"/>
              </w:rPr>
              <w:t>年</w:t>
            </w:r>
            <w:r>
              <w:rPr>
                <w:rFonts w:hint="eastAsia" w:ascii="Nimbus Roman No9 L" w:hAnsi="Nimbus Roman No9 L" w:eastAsia="仿宋_GB2312" w:cs="Nimbus Roman No9 L"/>
                <w:sz w:val="32"/>
                <w:lang w:val="en-US" w:eastAsia="zh-CN"/>
              </w:rPr>
              <w:t>4</w:t>
            </w:r>
            <w:r>
              <w:rPr>
                <w:rFonts w:hint="eastAsia" w:ascii="Nimbus Roman No9 L" w:hAnsi="Nimbus Roman No9 L" w:eastAsia="仿宋_GB2312"/>
                <w:sz w:val="32"/>
                <w:lang w:val="en-US" w:eastAsia="zh-CN"/>
              </w:rPr>
              <w:t>月</w:t>
            </w:r>
            <w:r>
              <w:rPr>
                <w:rFonts w:hint="eastAsia" w:ascii="Nimbus Roman No9 L" w:hAnsi="Nimbus Roman No9 L" w:eastAsia="仿宋_GB2312" w:cs="Nimbus Roman No9 L"/>
                <w:sz w:val="32"/>
                <w:lang w:val="en-US" w:eastAsia="zh-CN"/>
              </w:rPr>
              <w:t>2</w:t>
            </w:r>
            <w:r>
              <w:rPr>
                <w:rFonts w:hint="eastAsia" w:ascii="Nimbus Roman No9 L" w:hAnsi="Nimbus Roman No9 L" w:eastAsia="仿宋_GB2312"/>
                <w:sz w:val="32"/>
                <w:lang w:val="en-US" w:eastAsia="zh-CN"/>
              </w:rPr>
              <w:t>日</w:t>
            </w:r>
            <w:bookmarkEnd w:id="2"/>
            <w:r>
              <w:rPr>
                <w:rFonts w:hint="eastAsia" w:ascii="Nimbus Roman No9 L" w:hAnsi="Nimbus Roman No9 L" w:eastAsia="仿宋_GB2312"/>
                <w:sz w:val="32"/>
              </w:rPr>
              <w:t xml:space="preserve">   </w:t>
            </w:r>
          </w:p>
        </w:tc>
      </w:tr>
    </w:tbl>
    <w:p>
      <w:pPr>
        <w:spacing w:line="20" w:lineRule="exact"/>
        <w:ind w:right="1151" w:rightChars="548"/>
        <w:rPr>
          <w:rFonts w:hint="eastAsia"/>
        </w:rPr>
      </w:pPr>
      <w:bookmarkStart w:id="3" w:name="_GoBack"/>
      <w:bookmarkEnd w:id="3"/>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AFF5754"/>
    <w:rsid w:val="1BE3569F"/>
    <w:rsid w:val="20FE4F37"/>
    <w:rsid w:val="22666FCA"/>
    <w:rsid w:val="23957D52"/>
    <w:rsid w:val="265833FB"/>
    <w:rsid w:val="2A106D0B"/>
    <w:rsid w:val="2DCA2874"/>
    <w:rsid w:val="377A2E5E"/>
    <w:rsid w:val="385C0DBD"/>
    <w:rsid w:val="3A57702C"/>
    <w:rsid w:val="3EFE6C56"/>
    <w:rsid w:val="447E3320"/>
    <w:rsid w:val="45CB5298"/>
    <w:rsid w:val="4B30475B"/>
    <w:rsid w:val="4CA33CB0"/>
    <w:rsid w:val="4CFC5A2B"/>
    <w:rsid w:val="4D14258D"/>
    <w:rsid w:val="57073EC0"/>
    <w:rsid w:val="59C6063C"/>
    <w:rsid w:val="5F5F2D81"/>
    <w:rsid w:val="5FEF6D36"/>
    <w:rsid w:val="63E612D4"/>
    <w:rsid w:val="693053CC"/>
    <w:rsid w:val="6AB50BAB"/>
    <w:rsid w:val="6CA056C1"/>
    <w:rsid w:val="6D957ABF"/>
    <w:rsid w:val="6FD6BA44"/>
    <w:rsid w:val="7312333B"/>
    <w:rsid w:val="75561D3A"/>
    <w:rsid w:val="7952225A"/>
    <w:rsid w:val="7D174045"/>
    <w:rsid w:val="7D906DB7"/>
    <w:rsid w:val="7DBF0BB8"/>
    <w:rsid w:val="7E674295"/>
    <w:rsid w:val="8AEFC66F"/>
    <w:rsid w:val="BDEF12DD"/>
    <w:rsid w:val="C1386C91"/>
    <w:rsid w:val="EDDED7DB"/>
    <w:rsid w:val="F46D2787"/>
    <w:rsid w:val="FEBB03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2</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2021-04-09T03:49:00Z</dcterms:created>
  <dc:creator>wjc</dc:creator>
  <cp:lastModifiedBy>李长卿</cp:lastModifiedBy>
  <dcterms:modified xsi:type="dcterms:W3CDTF">2024-12-18T19:08:39Z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