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exact"/>
        <w:rPr>
          <w:rFonts w:hint="eastAsia" w:ascii="仿宋_GB2312" w:hAnsi="宋体" w:eastAsia="仿宋_GB2312"/>
          <w:sz w:val="30"/>
        </w:rPr>
      </w:pPr>
    </w:p>
    <w:p>
      <w:pPr>
        <w:rPr>
          <w:rFonts w:hint="eastAsia" w:ascii="仿宋_GB2312" w:hAnsi="宋体" w:eastAsia="仿宋_GB2312"/>
          <w:sz w:val="13"/>
          <w:szCs w:val="13"/>
        </w:rPr>
      </w:pPr>
    </w:p>
    <w:tbl>
      <w:tblPr>
        <w:tblStyle w:val="7"/>
        <w:tblW w:w="5037" w:type="pct"/>
        <w:tblInd w:w="-34"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935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756" w:hRule="atLeast"/>
        </w:trPr>
        <w:tc>
          <w:tcPr>
            <w:tcW w:w="5000" w:type="pct"/>
            <w:tcBorders>
              <w:tl2br w:val="nil"/>
              <w:tr2bl w:val="nil"/>
            </w:tcBorders>
            <w:noWrap w:val="0"/>
            <w:vAlign w:val="center"/>
          </w:tcPr>
          <w:p>
            <w:pPr>
              <w:jc w:val="center"/>
              <w:rPr>
                <w:rFonts w:hint="default" w:ascii="宋体" w:hAnsi="宋体" w:eastAsia="宋体"/>
                <w:b/>
                <w:bCs/>
                <w:sz w:val="44"/>
                <w:lang w:val="en-US" w:eastAsia="zh-CN"/>
              </w:rPr>
            </w:pPr>
            <w:bookmarkStart w:id="0" w:name="bt"/>
            <w:r>
              <w:rPr>
                <w:rFonts w:hint="eastAsia" w:ascii="宋体" w:hAnsi="宋体"/>
                <w:b/>
                <w:bCs/>
                <w:sz w:val="44"/>
                <w:lang w:val="en-US" w:eastAsia="zh-CN"/>
              </w:rPr>
              <w:t>对市政协第十五届三次会议</w:t>
            </w:r>
            <w:r>
              <w:rPr>
                <w:rFonts w:hint="eastAsia" w:ascii="宋体" w:hAnsi="宋体"/>
                <w:b/>
                <w:bCs/>
                <w:sz w:val="44"/>
                <w:lang w:val="en-US" w:eastAsia="zh-CN"/>
              </w:rPr>
              <w:br w:type="textWrapping"/>
            </w:r>
            <w:r>
              <w:rPr>
                <w:rFonts w:hint="eastAsia" w:ascii="宋体" w:hAnsi="宋体"/>
                <w:b/>
                <w:bCs/>
                <w:sz w:val="44"/>
                <w:lang w:val="en-US" w:eastAsia="zh-CN"/>
              </w:rPr>
              <w:t>第</w:t>
            </w:r>
            <w:r>
              <w:rPr>
                <w:rFonts w:hint="default" w:ascii="Nimbus Roman No9 L" w:hAnsi="Nimbus Roman No9 L" w:cs="Nimbus Roman No9 L"/>
                <w:b w:val="0"/>
                <w:bCs w:val="0"/>
                <w:sz w:val="44"/>
                <w:lang w:val="en-US" w:eastAsia="zh-CN"/>
              </w:rPr>
              <w:t>0740</w:t>
            </w:r>
            <w:r>
              <w:rPr>
                <w:rFonts w:hint="eastAsia" w:ascii="宋体" w:hAnsi="宋体"/>
                <w:b/>
                <w:bCs/>
                <w:sz w:val="44"/>
                <w:lang w:val="en-US" w:eastAsia="zh-CN"/>
              </w:rPr>
              <w:t>号提案的</w:t>
            </w:r>
            <w:bookmarkEnd w:id="0"/>
            <w:r>
              <w:rPr>
                <w:rFonts w:hint="eastAsia" w:ascii="宋体" w:hAnsi="宋体"/>
                <w:b/>
                <w:bCs/>
                <w:sz w:val="44"/>
                <w:lang w:val="en-US" w:eastAsia="zh-CN"/>
              </w:rPr>
              <w:t>落实答复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5000" w:type="pct"/>
            <w:tcBorders>
              <w:tl2br w:val="nil"/>
              <w:tr2bl w:val="nil"/>
            </w:tcBorders>
            <w:noWrap w:val="0"/>
            <w:vAlign w:val="top"/>
          </w:tcPr>
          <w:p>
            <w:pPr>
              <w:spacing w:line="560" w:lineRule="exact"/>
              <w:ind w:right="105" w:rightChars="50"/>
              <w:rPr>
                <w:rFonts w:eastAsia="仿宋_GB2312"/>
                <w:sz w:val="32"/>
              </w:rPr>
            </w:pPr>
            <w:r>
              <w:rPr>
                <w:rFonts w:hint="eastAsia" w:eastAsia="仿宋_GB2312"/>
                <w:sz w:val="32"/>
                <w:lang w:val="en-US" w:eastAsia="zh-CN"/>
              </w:rPr>
              <w:t>周雪松委员</w:t>
            </w:r>
            <w:r>
              <w:rPr>
                <w:rFonts w:eastAsia="仿宋_GB2312"/>
                <w:sz w:val="32"/>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5000" w:type="pct"/>
            <w:tcBorders>
              <w:tl2br w:val="nil"/>
              <w:tr2bl w:val="nil"/>
            </w:tcBorders>
            <w:noWrap w:val="0"/>
            <w:vAlign w:val="top"/>
          </w:tcPr>
          <w:p>
            <w:pPr>
              <w:spacing w:line="560" w:lineRule="exact"/>
              <w:rPr>
                <w:rFonts w:eastAsia="仿宋_GB2312"/>
                <w:sz w:val="32"/>
              </w:rPr>
            </w:pPr>
            <w:r>
              <w:rPr>
                <w:rFonts w:eastAsia="仿宋_GB2312"/>
                <w:sz w:val="32"/>
                <w:szCs w:val="18"/>
              </w:rPr>
              <w:t>　　</w:t>
            </w:r>
            <w:r>
              <w:rPr>
                <w:rFonts w:hint="eastAsia" w:eastAsia="仿宋_GB2312"/>
                <w:sz w:val="32"/>
                <w:szCs w:val="18"/>
                <w:lang w:val="en-US" w:eastAsia="zh-CN"/>
              </w:rPr>
              <w:t>您提出的关于探索科技成果转化新机制、构建天开园科技创新策源地的提案，经会同市地方金融管理局、市人社局、市国资委、市教委、市财政局、市知识产权局研究答复如下</w:t>
            </w:r>
            <w:r>
              <w:rPr>
                <w:rFonts w:eastAsia="仿宋_GB2312"/>
                <w:sz w:val="32"/>
                <w:szCs w:val="18"/>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62" w:hRule="atLeast"/>
        </w:trPr>
        <w:tc>
          <w:tcPr>
            <w:tcW w:w="5000" w:type="pct"/>
            <w:tcBorders>
              <w:tl2br w:val="nil"/>
              <w:tr2bl w:val="nil"/>
            </w:tcBorders>
            <w:noWrap w:val="0"/>
            <w:vAlign w:val="top"/>
          </w:tcPr>
          <w:p>
            <w:pPr>
              <w:pStyle w:val="3"/>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eastAsia="仿宋_GB2312" w:cs="Times New Roman"/>
                <w:kern w:val="2"/>
                <w:sz w:val="32"/>
                <w:szCs w:val="18"/>
                <w:lang w:val="en-US" w:eastAsia="zh-CN" w:bidi="ar-SA"/>
              </w:rPr>
            </w:pPr>
            <w:r>
              <w:rPr>
                <w:rFonts w:hint="eastAsia" w:eastAsia="仿宋_GB2312" w:cs="Times New Roman"/>
                <w:kern w:val="2"/>
                <w:sz w:val="32"/>
                <w:szCs w:val="18"/>
                <w:lang w:val="en-US" w:eastAsia="zh-CN" w:bidi="ar-SA"/>
              </w:rPr>
              <w:t>市科技局会同天开园建设工作领导小组各成员单位，持续优化人才发展环境，大力推动科技成果转化，积极</w:t>
            </w:r>
            <w:r>
              <w:rPr>
                <w:rFonts w:hint="eastAsia" w:ascii="仿宋_GB2312" w:hAnsi="仿宋_GB2312" w:eastAsia="仿宋_GB2312" w:cs="仿宋_GB2312"/>
                <w:b w:val="0"/>
                <w:bCs w:val="0"/>
                <w:color w:val="auto"/>
                <w:kern w:val="2"/>
                <w:sz w:val="32"/>
                <w:szCs w:val="32"/>
                <w:lang w:val="en-US" w:eastAsia="zh-CN" w:bidi="ar-SA"/>
              </w:rPr>
              <w:t>营造天开特色生态，不断提升创新策源水平，推动园区建设发展取得积极成效。</w:t>
            </w:r>
          </w:p>
          <w:p>
            <w:pPr>
              <w:pStyle w:val="3"/>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黑体" w:hAnsi="黑体" w:eastAsia="黑体" w:cs="黑体"/>
                <w:kern w:val="2"/>
                <w:sz w:val="32"/>
                <w:szCs w:val="18"/>
                <w:lang w:val="en-US" w:eastAsia="zh-CN" w:bidi="ar-SA"/>
              </w:rPr>
            </w:pPr>
            <w:r>
              <w:rPr>
                <w:rFonts w:hint="eastAsia" w:ascii="黑体" w:hAnsi="黑体" w:eastAsia="黑体" w:cs="黑体"/>
                <w:kern w:val="2"/>
                <w:sz w:val="32"/>
                <w:szCs w:val="18"/>
                <w:lang w:val="en-US" w:eastAsia="zh-CN" w:bidi="ar-SA"/>
              </w:rPr>
              <w:t>一、优化人才发展环境</w:t>
            </w:r>
          </w:p>
          <w:p>
            <w:pPr>
              <w:pStyle w:val="3"/>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bCs/>
                <w:color w:val="auto"/>
                <w:sz w:val="32"/>
                <w:szCs w:val="32"/>
                <w:lang w:val="en-US" w:eastAsia="zh-CN"/>
              </w:rPr>
              <w:t>一是</w:t>
            </w:r>
            <w:r>
              <w:rPr>
                <w:rFonts w:hint="eastAsia" w:ascii="仿宋_GB2312" w:hAnsi="仿宋_GB2312" w:eastAsia="仿宋_GB2312" w:cs="仿宋_GB2312"/>
                <w:b w:val="0"/>
                <w:bCs w:val="0"/>
                <w:color w:val="auto"/>
                <w:sz w:val="32"/>
                <w:szCs w:val="32"/>
                <w:lang w:val="en-US" w:eastAsia="zh-CN"/>
              </w:rPr>
              <w:t>用足用好政策“存量”，优化政策实施兑现。深入落实天开园</w:t>
            </w:r>
            <w:r>
              <w:rPr>
                <w:rFonts w:hint="default" w:ascii="Times New Roman" w:hAnsi="Times New Roman" w:eastAsia="仿宋_GB2312" w:cs="Times New Roman"/>
                <w:b w:val="0"/>
                <w:bCs w:val="0"/>
                <w:color w:val="auto"/>
                <w:sz w:val="32"/>
                <w:szCs w:val="32"/>
                <w:lang w:val="en-US" w:eastAsia="zh-CN"/>
              </w:rPr>
              <w:t>2.0</w:t>
            </w:r>
            <w:r>
              <w:rPr>
                <w:rFonts w:hint="eastAsia" w:eastAsia="仿宋_GB2312" w:cs="Times New Roman"/>
                <w:b w:val="0"/>
                <w:bCs w:val="0"/>
                <w:color w:val="auto"/>
                <w:sz w:val="32"/>
                <w:szCs w:val="32"/>
                <w:lang w:val="en-US" w:eastAsia="zh-CN"/>
              </w:rPr>
              <w:t>版</w:t>
            </w:r>
            <w:r>
              <w:rPr>
                <w:rFonts w:hint="eastAsia" w:ascii="仿宋_GB2312" w:hAnsi="仿宋_GB2312" w:eastAsia="仿宋_GB2312" w:cs="仿宋_GB2312"/>
                <w:b w:val="0"/>
                <w:bCs w:val="0"/>
                <w:color w:val="auto"/>
                <w:sz w:val="32"/>
                <w:szCs w:val="32"/>
                <w:lang w:val="en-US" w:eastAsia="zh-CN"/>
              </w:rPr>
              <w:t>政策要求，从工作职位性质、主持项目水平、成果潜力价值等多个维度设置人才申报条件，认定天开园高端创新创业人才、急需紧缺人才、科创服务人才超百人，在奖励资助、房租补贴、协调子女入学、提供医疗服务等方面给予政策优惠。市人社局落实《关于在天开高教科创园开展博士后体制机制改革试点的实施方案》，依照“按需申报、即时备案”模式，今年上半年支持园区内天大智图（天津）科技有限公司等</w:t>
            </w:r>
            <w:r>
              <w:rPr>
                <w:rFonts w:hint="eastAsia" w:ascii="Times New Roman" w:hAnsi="Times New Roman" w:eastAsia="仿宋_GB2312" w:cs="Times New Roman"/>
                <w:b w:val="0"/>
                <w:bCs w:val="0"/>
                <w:color w:val="auto"/>
                <w:sz w:val="32"/>
                <w:szCs w:val="32"/>
                <w:lang w:val="en-US" w:eastAsia="zh-CN"/>
              </w:rPr>
              <w:t>12</w:t>
            </w:r>
            <w:r>
              <w:rPr>
                <w:rFonts w:hint="eastAsia" w:ascii="仿宋_GB2312" w:hAnsi="仿宋_GB2312" w:eastAsia="仿宋_GB2312" w:cs="仿宋_GB2312"/>
                <w:b w:val="0"/>
                <w:bCs w:val="0"/>
                <w:color w:val="auto"/>
                <w:sz w:val="32"/>
                <w:szCs w:val="32"/>
                <w:lang w:val="en-US" w:eastAsia="zh-CN"/>
              </w:rPr>
              <w:t>家单位设立博士后科研工作站分站，帮助园区企业根据项目人力资源需求与岗位缺口招引高层次创新型青年人才。</w:t>
            </w:r>
          </w:p>
          <w:p>
            <w:pPr>
              <w:pStyle w:val="3"/>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bCs/>
                <w:color w:val="auto"/>
                <w:sz w:val="32"/>
                <w:szCs w:val="32"/>
                <w:lang w:val="en-US" w:eastAsia="zh-CN"/>
              </w:rPr>
              <w:t>二是</w:t>
            </w:r>
            <w:r>
              <w:rPr>
                <w:rFonts w:hint="eastAsia" w:ascii="仿宋_GB2312" w:hAnsi="仿宋_GB2312" w:eastAsia="仿宋_GB2312" w:cs="仿宋_GB2312"/>
                <w:b w:val="0"/>
                <w:bCs w:val="0"/>
                <w:color w:val="auto"/>
                <w:sz w:val="32"/>
                <w:szCs w:val="32"/>
                <w:lang w:val="en-US" w:eastAsia="zh-CN"/>
              </w:rPr>
              <w:t>打造优质政策“增量”，持续完善体制机制。市人社局优化升级“海河英才”行动计划，印发《关于加快引进培养用好人才 服务新质生产力发展的若干措施》，实施更加开放包容举措引进人才，坚持产教融合培育人才，深化人才发展体制机制改革，支持天开园营造近悦远来人才发展生态。在推进人才评价制度改革、完善人才薪酬分配机制、优化人才服务保障等方面强化制度支撑，支持有条件的用人单位设立首席技师、特级技师技术职务，支持国有企业赋予领军人才更加灵活的技术路线决定权和经费使用权。</w:t>
            </w:r>
          </w:p>
          <w:p>
            <w:pPr>
              <w:pStyle w:val="3"/>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bCs/>
                <w:color w:val="auto"/>
                <w:sz w:val="32"/>
                <w:szCs w:val="32"/>
                <w:lang w:val="en-US" w:eastAsia="zh-CN"/>
              </w:rPr>
              <w:t>三是</w:t>
            </w:r>
            <w:r>
              <w:rPr>
                <w:rFonts w:hint="eastAsia" w:ascii="仿宋_GB2312" w:hAnsi="仿宋_GB2312" w:eastAsia="仿宋_GB2312" w:cs="仿宋_GB2312"/>
                <w:b w:val="0"/>
                <w:bCs w:val="0"/>
                <w:color w:val="auto"/>
                <w:sz w:val="32"/>
                <w:szCs w:val="32"/>
                <w:lang w:val="en-US" w:eastAsia="zh-CN"/>
              </w:rPr>
              <w:t>把握人才流动“变量”，强化精准引才、柔性引才。天开集团牵头整合</w:t>
            </w:r>
            <w:r>
              <w:rPr>
                <w:rFonts w:hint="default" w:ascii="Times New Roman" w:hAnsi="Times New Roman" w:eastAsia="仿宋_GB2312" w:cs="Times New Roman"/>
                <w:b w:val="0"/>
                <w:bCs w:val="0"/>
                <w:color w:val="auto"/>
                <w:sz w:val="32"/>
                <w:szCs w:val="32"/>
                <w:lang w:val="en-US" w:eastAsia="zh-CN"/>
              </w:rPr>
              <w:t>9家国内头部猎头公司成立天津天开猎头联盟，为</w:t>
            </w:r>
            <w:r>
              <w:rPr>
                <w:rFonts w:hint="eastAsia" w:ascii="仿宋_GB2312" w:hAnsi="仿宋_GB2312" w:eastAsia="仿宋_GB2312" w:cs="仿宋_GB2312"/>
                <w:b w:val="0"/>
                <w:bCs w:val="0"/>
                <w:color w:val="auto"/>
                <w:sz w:val="32"/>
                <w:szCs w:val="32"/>
                <w:lang w:val="en-US" w:eastAsia="zh-CN"/>
              </w:rPr>
              <w:t>园区企业提供高端人才巡猎服务，计划于今年下半年举办猎头技能实训班，谋划博士人才招募专项计划；联合清华大学社会科学院研发</w:t>
            </w:r>
            <w:r>
              <w:rPr>
                <w:rFonts w:hint="default" w:ascii="Times New Roman" w:hAnsi="Times New Roman" w:eastAsia="仿宋_GB2312" w:cs="Times New Roman"/>
                <w:b w:val="0"/>
                <w:bCs w:val="0"/>
                <w:color w:val="auto"/>
                <w:sz w:val="32"/>
                <w:szCs w:val="32"/>
                <w:lang w:val="en-US" w:eastAsia="zh-CN"/>
              </w:rPr>
              <w:t>AI测评系统，精准筛选全球顶尖科研人才，助力天开园企业链接人工智能、新能源、生物医药等前沿领域</w:t>
            </w:r>
            <w:r>
              <w:rPr>
                <w:rFonts w:hint="eastAsia" w:ascii="仿宋_GB2312" w:hAnsi="仿宋_GB2312" w:eastAsia="仿宋_GB2312" w:cs="仿宋_GB2312"/>
                <w:b w:val="0"/>
                <w:bCs w:val="0"/>
                <w:color w:val="auto"/>
                <w:sz w:val="32"/>
                <w:szCs w:val="32"/>
                <w:lang w:val="en-US" w:eastAsia="zh-CN"/>
              </w:rPr>
              <w:t>高端智力资源。市教委积极推动校企人员互聘，支持高校教师利用假期时间深入企业一线开展科研攻关，支持企业人员带着企业需求与高校老师共同开展科学研究和人才培养，支持优秀科研人员根据任务需求聘用引进企业工程师，组建学科交叉、优势互补，跨学校、跨主体的协同攻关团队，开展关键核心技术集成攻关和工程化研究，提高研发效率和效益。</w:t>
            </w:r>
          </w:p>
          <w:p>
            <w:pPr>
              <w:pStyle w:val="3"/>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b w:val="0"/>
                <w:bCs w:val="0"/>
                <w:color w:val="auto"/>
                <w:sz w:val="32"/>
                <w:szCs w:val="32"/>
                <w:lang w:val="en-US" w:eastAsia="zh-CN"/>
              </w:rPr>
            </w:pPr>
            <w:r>
              <w:rPr>
                <w:rFonts w:hint="eastAsia" w:ascii="黑体" w:hAnsi="黑体" w:eastAsia="黑体" w:cs="黑体"/>
                <w:b w:val="0"/>
                <w:bCs w:val="0"/>
                <w:color w:val="auto"/>
                <w:kern w:val="2"/>
                <w:sz w:val="32"/>
                <w:szCs w:val="32"/>
                <w:lang w:val="en-US" w:eastAsia="zh-CN" w:bidi="ar-SA"/>
              </w:rPr>
              <w:t>二、</w:t>
            </w:r>
            <w:r>
              <w:rPr>
                <w:rFonts w:hint="eastAsia" w:ascii="黑体" w:hAnsi="黑体" w:eastAsia="黑体" w:cs="黑体"/>
                <w:b w:val="0"/>
                <w:bCs w:val="0"/>
                <w:color w:val="auto"/>
                <w:sz w:val="32"/>
                <w:szCs w:val="32"/>
                <w:lang w:val="en-US" w:eastAsia="zh-CN"/>
              </w:rPr>
              <w:t>推动科技成果转化</w:t>
            </w:r>
          </w:p>
          <w:p>
            <w:pPr>
              <w:pStyle w:val="3"/>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2" w:firstLineChars="200"/>
              <w:textAlignment w:val="auto"/>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bCs/>
                <w:color w:val="auto"/>
                <w:sz w:val="32"/>
                <w:szCs w:val="32"/>
                <w:lang w:val="en-US" w:eastAsia="zh-CN"/>
              </w:rPr>
              <w:t>一是</w:t>
            </w:r>
            <w:r>
              <w:rPr>
                <w:rFonts w:hint="eastAsia" w:ascii="仿宋_GB2312" w:hAnsi="仿宋_GB2312" w:eastAsia="仿宋_GB2312" w:cs="仿宋_GB2312"/>
                <w:b w:val="0"/>
                <w:bCs w:val="0"/>
                <w:color w:val="auto"/>
                <w:sz w:val="32"/>
                <w:szCs w:val="32"/>
                <w:lang w:val="en-US" w:eastAsia="zh-CN"/>
              </w:rPr>
              <w:t>完善体制机制。研究制定了《关于进一步推动科技成果转化创新改革的若干措施》，鼓励科研事业单位将专利以“先使用后付费”方式许可给中小微企业使用。联合市教委等</w:t>
            </w:r>
            <w:r>
              <w:rPr>
                <w:rFonts w:hint="default" w:ascii="Times New Roman" w:hAnsi="Times New Roman" w:eastAsia="仿宋_GB2312" w:cs="Times New Roman"/>
                <w:b w:val="0"/>
                <w:bCs w:val="0"/>
                <w:color w:val="auto"/>
                <w:sz w:val="32"/>
                <w:szCs w:val="32"/>
                <w:lang w:val="en-US" w:eastAsia="zh-CN"/>
              </w:rPr>
              <w:t>9</w:t>
            </w:r>
            <w:r>
              <w:rPr>
                <w:rFonts w:hint="eastAsia" w:ascii="仿宋_GB2312" w:hAnsi="仿宋_GB2312" w:eastAsia="仿宋_GB2312" w:cs="仿宋_GB2312"/>
                <w:b w:val="0"/>
                <w:bCs w:val="0"/>
                <w:color w:val="auto"/>
                <w:sz w:val="32"/>
                <w:szCs w:val="32"/>
                <w:lang w:val="en-US" w:eastAsia="zh-CN"/>
              </w:rPr>
              <w:t>部门印发《天津市科技成果转化尽职免责工作指引（试行）》，落实“三个区分开来”要求，积极营造敢于担当、大胆转化、容错免责的成果转化氛围。</w:t>
            </w:r>
          </w:p>
          <w:p>
            <w:pPr>
              <w:pStyle w:val="3"/>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2" w:firstLineChars="200"/>
              <w:textAlignment w:val="auto"/>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bCs/>
                <w:color w:val="auto"/>
                <w:sz w:val="32"/>
                <w:szCs w:val="32"/>
                <w:lang w:val="en-US" w:eastAsia="zh-CN"/>
              </w:rPr>
              <w:t>二是</w:t>
            </w:r>
            <w:r>
              <w:rPr>
                <w:rFonts w:hint="eastAsia" w:ascii="仿宋_GB2312" w:hAnsi="仿宋_GB2312" w:eastAsia="仿宋_GB2312" w:cs="仿宋_GB2312"/>
                <w:b w:val="0"/>
                <w:bCs w:val="0"/>
                <w:color w:val="auto"/>
                <w:sz w:val="32"/>
                <w:szCs w:val="32"/>
                <w:lang w:val="en-US" w:eastAsia="zh-CN"/>
              </w:rPr>
              <w:t>推动对接合作。与全市</w:t>
            </w:r>
            <w:r>
              <w:rPr>
                <w:rFonts w:hint="default" w:ascii="Times New Roman" w:hAnsi="Times New Roman" w:eastAsia="仿宋_GB2312" w:cs="Times New Roman"/>
                <w:b w:val="0"/>
                <w:bCs w:val="0"/>
                <w:color w:val="auto"/>
                <w:sz w:val="32"/>
                <w:szCs w:val="32"/>
                <w:lang w:val="en-US" w:eastAsia="zh-CN"/>
              </w:rPr>
              <w:t>56所高校、29家全国重点实验室、7家海河实验室、403家市级重点实验室、62家中央驻津院所建立常态化对接机</w:t>
            </w:r>
            <w:r>
              <w:rPr>
                <w:rFonts w:hint="eastAsia" w:ascii="仿宋_GB2312" w:hAnsi="仿宋_GB2312" w:eastAsia="仿宋_GB2312" w:cs="仿宋_GB2312"/>
                <w:b w:val="0"/>
                <w:bCs w:val="0"/>
                <w:color w:val="auto"/>
                <w:sz w:val="32"/>
                <w:szCs w:val="32"/>
                <w:lang w:val="en-US" w:eastAsia="zh-CN"/>
              </w:rPr>
              <w:t>制，推动南开大学单人牵引助力运输机器人等多项重点高校成果在天开园转化；联合中国科学院发展规划局等单位，在天开园举办中国科学院科技成果转化“融合点”行动天津活动，面向天津企业推出中国科学院</w:t>
            </w:r>
            <w:r>
              <w:rPr>
                <w:rFonts w:hint="default" w:ascii="Times New Roman" w:hAnsi="Times New Roman" w:eastAsia="仿宋_GB2312" w:cs="Times New Roman"/>
                <w:b w:val="0"/>
                <w:bCs w:val="0"/>
                <w:color w:val="auto"/>
                <w:sz w:val="32"/>
                <w:szCs w:val="32"/>
                <w:lang w:val="en-US" w:eastAsia="zh-CN"/>
              </w:rPr>
              <w:t>2400余项拟转化成果和4.4万件拟转化专利，现场推动8个项目成功签约，合同总金额1.5亿元。</w:t>
            </w:r>
            <w:r>
              <w:rPr>
                <w:rFonts w:hint="eastAsia" w:ascii="仿宋_GB2312" w:hAnsi="仿宋_GB2312" w:eastAsia="仿宋_GB2312" w:cs="仿宋_GB2312"/>
                <w:b w:val="0"/>
                <w:bCs w:val="0"/>
                <w:color w:val="auto"/>
                <w:sz w:val="32"/>
                <w:szCs w:val="32"/>
                <w:lang w:val="en-US" w:eastAsia="zh-CN"/>
              </w:rPr>
              <w:t>市国资委引导百利集团、渤化集团、食品集团等国企和天开园企业召开多场对接会，在工艺验证、技术开发、概念验证、中试放大等方面达成多项合作。</w:t>
            </w:r>
          </w:p>
          <w:p>
            <w:pPr>
              <w:pStyle w:val="3"/>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2" w:firstLineChars="200"/>
              <w:textAlignment w:val="auto"/>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bCs/>
                <w:color w:val="auto"/>
                <w:sz w:val="32"/>
                <w:szCs w:val="32"/>
                <w:lang w:val="en-US" w:eastAsia="zh-CN"/>
              </w:rPr>
              <w:t>三是</w:t>
            </w:r>
            <w:r>
              <w:rPr>
                <w:rFonts w:hint="eastAsia" w:ascii="仿宋_GB2312" w:hAnsi="仿宋_GB2312" w:eastAsia="仿宋_GB2312" w:cs="仿宋_GB2312"/>
                <w:b w:val="0"/>
                <w:bCs w:val="0"/>
                <w:color w:val="auto"/>
                <w:sz w:val="32"/>
                <w:szCs w:val="32"/>
                <w:lang w:val="en-US" w:eastAsia="zh-CN"/>
              </w:rPr>
              <w:t>组织专业化培训。市教委组织举办“新时代高校技术经纪人能力提升培训”和主题为“聚力高校科转人才，助力天开园建设”的技术转移官培训，围绕成果挖掘、转移、运营等方面的重点内容开展授课，提升高校科技成果转化从业人员素质能力。市科协面向科创服务机构、高校、科研院所、科技型企业等单位，组织开展</w:t>
            </w:r>
            <w:r>
              <w:rPr>
                <w:rFonts w:hint="default" w:ascii="Times New Roman" w:hAnsi="Times New Roman" w:eastAsia="仿宋_GB2312" w:cs="Times New Roman"/>
                <w:b w:val="0"/>
                <w:bCs w:val="0"/>
                <w:color w:val="auto"/>
                <w:sz w:val="32"/>
                <w:szCs w:val="32"/>
                <w:lang w:val="en-US" w:eastAsia="zh-CN"/>
              </w:rPr>
              <w:t>2025</w:t>
            </w:r>
            <w:r>
              <w:rPr>
                <w:rFonts w:hint="eastAsia" w:ascii="仿宋_GB2312" w:hAnsi="仿宋_GB2312" w:eastAsia="仿宋_GB2312" w:cs="仿宋_GB2312"/>
                <w:b w:val="0"/>
                <w:bCs w:val="0"/>
                <w:color w:val="auto"/>
                <w:sz w:val="32"/>
                <w:szCs w:val="32"/>
                <w:lang w:val="en-US" w:eastAsia="zh-CN"/>
              </w:rPr>
              <w:t>年天津市科协技术经理人培训班，解读科技成果转化政策和技术经理人能力队伍建设等方面的问题，培养专兼职相结合的技术经理人队伍。</w:t>
            </w:r>
          </w:p>
          <w:p>
            <w:pPr>
              <w:pStyle w:val="3"/>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2" w:firstLineChars="200"/>
              <w:textAlignment w:val="auto"/>
              <w:rPr>
                <w:rFonts w:hint="default"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bCs/>
                <w:color w:val="auto"/>
                <w:sz w:val="32"/>
                <w:szCs w:val="32"/>
                <w:lang w:val="en-US" w:eastAsia="zh-CN"/>
              </w:rPr>
              <w:t>四是</w:t>
            </w:r>
            <w:r>
              <w:rPr>
                <w:rFonts w:hint="eastAsia" w:ascii="仿宋_GB2312" w:hAnsi="仿宋_GB2312" w:eastAsia="仿宋_GB2312" w:cs="仿宋_GB2312"/>
                <w:b w:val="0"/>
                <w:bCs w:val="0"/>
                <w:color w:val="auto"/>
                <w:sz w:val="32"/>
                <w:szCs w:val="32"/>
                <w:lang w:val="en-US" w:eastAsia="zh-CN"/>
              </w:rPr>
              <w:t>强化成果转化风险保障。市知识产权局促成</w:t>
            </w:r>
            <w:r>
              <w:rPr>
                <w:rFonts w:hint="default" w:ascii="Times New Roman" w:hAnsi="Times New Roman" w:eastAsia="仿宋_GB2312" w:cs="Times New Roman"/>
                <w:b w:val="0"/>
                <w:bCs w:val="0"/>
                <w:color w:val="auto"/>
                <w:sz w:val="32"/>
                <w:szCs w:val="32"/>
                <w:lang w:val="en-US" w:eastAsia="zh-CN"/>
              </w:rPr>
              <w:t>园区48</w:t>
            </w:r>
            <w:r>
              <w:rPr>
                <w:rFonts w:hint="eastAsia" w:ascii="仿宋_GB2312" w:hAnsi="仿宋_GB2312" w:eastAsia="仿宋_GB2312" w:cs="仿宋_GB2312"/>
                <w:b w:val="0"/>
                <w:bCs w:val="0"/>
                <w:color w:val="auto"/>
                <w:sz w:val="32"/>
                <w:szCs w:val="32"/>
                <w:lang w:val="en-US" w:eastAsia="zh-CN"/>
              </w:rPr>
              <w:t>家企业办理知识产权保险，推动“区块链存证+商业保险”保护模式首个案例落地天开园，帮助企业有效管控和分担知识产权风险，鼓励企业大胆开展科技创新、成果转化。滨海高新区在全国范围内率先探索科技成果转化“先研后股”“先投后股”新模式，将早期投入的财政性资金转为企业股权，后续按照“适当收益”原则退出，为初创期科研团队注入关键资金，解决早期资本“看不好、不敢投”的问题，降低成果转化风险。</w:t>
            </w:r>
          </w:p>
          <w:p>
            <w:pPr>
              <w:pStyle w:val="3"/>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 w:val="0"/>
                <w:bCs w:val="0"/>
                <w:color w:val="auto"/>
                <w:sz w:val="32"/>
                <w:szCs w:val="32"/>
                <w:lang w:val="en-US" w:eastAsia="zh-CN"/>
              </w:rPr>
            </w:pPr>
            <w:r>
              <w:rPr>
                <w:rFonts w:hint="eastAsia" w:ascii="黑体" w:hAnsi="黑体" w:eastAsia="黑体" w:cs="黑体"/>
                <w:b w:val="0"/>
                <w:bCs w:val="0"/>
                <w:color w:val="auto"/>
                <w:kern w:val="2"/>
                <w:sz w:val="32"/>
                <w:szCs w:val="32"/>
                <w:lang w:val="en-US" w:eastAsia="zh-CN" w:bidi="ar-SA"/>
              </w:rPr>
              <w:t>三、营造天开特色生态</w:t>
            </w:r>
          </w:p>
          <w:p>
            <w:pPr>
              <w:pStyle w:val="3"/>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2" w:firstLineChars="200"/>
              <w:textAlignment w:val="auto"/>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bCs/>
                <w:color w:val="auto"/>
                <w:sz w:val="32"/>
                <w:szCs w:val="32"/>
                <w:lang w:val="en-US" w:eastAsia="zh-CN"/>
              </w:rPr>
              <w:t>一是</w:t>
            </w:r>
            <w:r>
              <w:rPr>
                <w:rFonts w:hint="eastAsia" w:ascii="仿宋_GB2312" w:hAnsi="仿宋_GB2312" w:eastAsia="仿宋_GB2312" w:cs="仿宋_GB2312"/>
                <w:b w:val="0"/>
                <w:bCs w:val="0"/>
                <w:color w:val="auto"/>
                <w:sz w:val="32"/>
                <w:szCs w:val="32"/>
                <w:lang w:val="en-US" w:eastAsia="zh-CN"/>
              </w:rPr>
              <w:t>丰富应用场景供给。指导天开集团联合渤化集团等</w:t>
            </w:r>
            <w:r>
              <w:rPr>
                <w:rFonts w:hint="eastAsia" w:ascii="Times New Roman" w:hAnsi="Times New Roman" w:eastAsia="仿宋_GB2312" w:cs="Times New Roman"/>
                <w:b w:val="0"/>
                <w:bCs w:val="0"/>
                <w:color w:val="auto"/>
                <w:sz w:val="32"/>
                <w:szCs w:val="32"/>
                <w:lang w:val="en-US" w:eastAsia="zh-CN"/>
              </w:rPr>
              <w:t>6</w:t>
            </w:r>
            <w:r>
              <w:rPr>
                <w:rFonts w:hint="eastAsia" w:ascii="仿宋_GB2312" w:hAnsi="仿宋_GB2312" w:eastAsia="仿宋_GB2312" w:cs="仿宋_GB2312"/>
                <w:b w:val="0"/>
                <w:bCs w:val="0"/>
                <w:color w:val="auto"/>
                <w:sz w:val="32"/>
                <w:szCs w:val="32"/>
                <w:lang w:val="en-US" w:eastAsia="zh-CN"/>
              </w:rPr>
              <w:t>家国企发起“天开应用场景联盟”，推动重点企业开放应用场景和产业资源，牵引更多成长性高、技术性强、应用性好的创新企业快速成长，共促成对接</w:t>
            </w:r>
            <w:r>
              <w:rPr>
                <w:rFonts w:hint="default" w:ascii="Times New Roman" w:hAnsi="Times New Roman" w:eastAsia="仿宋_GB2312" w:cs="Times New Roman"/>
                <w:b w:val="0"/>
                <w:bCs w:val="0"/>
                <w:color w:val="auto"/>
                <w:sz w:val="32"/>
                <w:szCs w:val="32"/>
                <w:lang w:val="en-US" w:eastAsia="zh-CN"/>
              </w:rPr>
              <w:t>2000余次，签约订单100余项；</w:t>
            </w:r>
            <w:r>
              <w:rPr>
                <w:rFonts w:hint="eastAsia" w:ascii="仿宋_GB2312" w:hAnsi="仿宋_GB2312" w:eastAsia="仿宋_GB2312" w:cs="仿宋_GB2312"/>
                <w:b w:val="0"/>
                <w:bCs w:val="0"/>
                <w:color w:val="auto"/>
                <w:sz w:val="32"/>
                <w:szCs w:val="32"/>
                <w:lang w:val="en-US" w:eastAsia="zh-CN"/>
              </w:rPr>
              <w:t>设立天津天开应用场景创新有限公司，面向央国企、上市公司、大型民企、专精特新企业等寻找场景提供方，开展场景征集、发布、对接、推广等市场化运作。</w:t>
            </w:r>
          </w:p>
          <w:p>
            <w:pPr>
              <w:pStyle w:val="3"/>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2" w:firstLineChars="200"/>
              <w:textAlignment w:val="auto"/>
              <w:rPr>
                <w:rFonts w:hint="eastAsia" w:ascii="Times New Roman" w:hAnsi="Times New Roman" w:eastAsia="仿宋_GB2312" w:cs="Times New Roman"/>
                <w:sz w:val="32"/>
                <w:szCs w:val="32"/>
                <w:lang w:val="en-US" w:eastAsia="zh-CN"/>
              </w:rPr>
            </w:pPr>
            <w:r>
              <w:rPr>
                <w:rFonts w:hint="eastAsia" w:ascii="仿宋_GB2312" w:hAnsi="仿宋_GB2312" w:eastAsia="仿宋_GB2312" w:cs="仿宋_GB2312"/>
                <w:b/>
                <w:bCs/>
                <w:color w:val="auto"/>
                <w:sz w:val="32"/>
                <w:szCs w:val="32"/>
                <w:lang w:val="en-US" w:eastAsia="zh-CN"/>
              </w:rPr>
              <w:t>二是</w:t>
            </w:r>
            <w:r>
              <w:rPr>
                <w:rFonts w:hint="eastAsia" w:ascii="仿宋_GB2312" w:hAnsi="仿宋_GB2312" w:eastAsia="仿宋_GB2312" w:cs="仿宋_GB2312"/>
                <w:b w:val="0"/>
                <w:bCs w:val="0"/>
                <w:color w:val="auto"/>
                <w:sz w:val="32"/>
                <w:szCs w:val="32"/>
                <w:lang w:val="en-US" w:eastAsia="zh-CN"/>
              </w:rPr>
              <w:t>做强科技金融支撑。会同市地方金融管理局等单位，</w:t>
            </w:r>
            <w:r>
              <w:rPr>
                <w:rFonts w:hint="eastAsia" w:eastAsia="仿宋_GB2312" w:cs="Times New Roman"/>
                <w:sz w:val="32"/>
                <w:szCs w:val="32"/>
                <w:lang w:val="en-US" w:eastAsia="zh-CN"/>
              </w:rPr>
              <w:t>推动形成</w:t>
            </w:r>
            <w:r>
              <w:rPr>
                <w:rFonts w:hint="eastAsia" w:eastAsia="仿宋_GB2312" w:cs="Times New Roman"/>
                <w:sz w:val="32"/>
                <w:szCs w:val="32"/>
                <w:lang w:eastAsia="zh-CN"/>
              </w:rPr>
              <w:t>包括</w:t>
            </w:r>
            <w:r>
              <w:rPr>
                <w:rFonts w:hint="default" w:ascii="Times New Roman" w:hAnsi="Times New Roman" w:eastAsia="仿宋_GB2312" w:cs="Times New Roman"/>
                <w:sz w:val="32"/>
                <w:szCs w:val="32"/>
              </w:rPr>
              <w:t>创业种子基金、天使基金、产业投资基金、高成长专项投资组成的</w:t>
            </w:r>
            <w:r>
              <w:rPr>
                <w:rFonts w:hint="eastAsia"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覆盖企业全生命周期的金融支持基金体系，服务</w:t>
            </w:r>
            <w:r>
              <w:rPr>
                <w:rFonts w:hint="default" w:ascii="Times New Roman" w:hAnsi="Times New Roman" w:eastAsia="仿宋_GB2312" w:cs="Times New Roman"/>
                <w:sz w:val="32"/>
                <w:szCs w:val="32"/>
                <w:lang w:eastAsia="zh-CN"/>
              </w:rPr>
              <w:t>园区</w:t>
            </w:r>
            <w:r>
              <w:rPr>
                <w:rFonts w:hint="default" w:ascii="Times New Roman" w:hAnsi="Times New Roman" w:eastAsia="仿宋_GB2312" w:cs="Times New Roman"/>
                <w:sz w:val="32"/>
                <w:szCs w:val="32"/>
              </w:rPr>
              <w:t>企业在不同阶段的发展需求</w:t>
            </w:r>
            <w:r>
              <w:rPr>
                <w:rFonts w:hint="eastAsia" w:ascii="Times New Roman" w:hAnsi="Times New Roman" w:eastAsia="仿宋_GB2312" w:cs="Times New Roman"/>
                <w:sz w:val="32"/>
                <w:szCs w:val="32"/>
                <w:lang w:val="en-US" w:eastAsia="zh-CN"/>
              </w:rPr>
              <w:t>；指导天津OTC设立“天开科创专板”，打造“孵化—规范—培育”梯度培育体系，将园区近200家企业纳入专板培育，助力优质企业借助资本市场发展壮大。</w:t>
            </w:r>
          </w:p>
          <w:p>
            <w:pPr>
              <w:pStyle w:val="3"/>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2" w:firstLineChars="200"/>
              <w:textAlignment w:val="auto"/>
              <w:rPr>
                <w:rFonts w:hint="default" w:ascii="Times New Roman" w:hAnsi="Times New Roman" w:eastAsia="仿宋_GB2312" w:cs="Times New Roman"/>
                <w:sz w:val="32"/>
                <w:szCs w:val="32"/>
                <w:lang w:val="en-US" w:eastAsia="zh-CN"/>
              </w:rPr>
            </w:pPr>
            <w:r>
              <w:rPr>
                <w:rFonts w:hint="eastAsia" w:ascii="Times New Roman" w:hAnsi="Times New Roman" w:eastAsia="仿宋_GB2312" w:cs="Times New Roman"/>
                <w:b/>
                <w:bCs/>
                <w:sz w:val="32"/>
                <w:szCs w:val="32"/>
                <w:lang w:val="en-US" w:eastAsia="zh-CN"/>
              </w:rPr>
              <w:t>三是</w:t>
            </w:r>
            <w:r>
              <w:rPr>
                <w:rFonts w:hint="eastAsia" w:ascii="Times New Roman" w:hAnsi="Times New Roman" w:eastAsia="仿宋_GB2312" w:cs="Times New Roman"/>
                <w:sz w:val="32"/>
                <w:szCs w:val="32"/>
                <w:lang w:val="en-US" w:eastAsia="zh-CN"/>
              </w:rPr>
              <w:t>主动融入首都科技服务体系，引入优质北京技术中介机构和概念验证中心，举办中关村共性技术服务平台走进天津链接活动等。将宝坻区京津中关村科技城局部区域纳入天开园“一核两翼多点”空间发展布局，进一步促进天开园与北京中关村的务实交流合作，推动资源共享、双向赋能。</w:t>
            </w:r>
          </w:p>
          <w:p>
            <w:pPr>
              <w:pStyle w:val="3"/>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2" w:firstLineChars="200"/>
              <w:textAlignment w:val="auto"/>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b/>
                <w:bCs/>
                <w:sz w:val="32"/>
                <w:szCs w:val="32"/>
                <w:lang w:val="en-US" w:eastAsia="zh-CN"/>
              </w:rPr>
              <w:t>四是</w:t>
            </w:r>
            <w:r>
              <w:rPr>
                <w:rFonts w:hint="eastAsia" w:ascii="Times New Roman" w:hAnsi="Times New Roman" w:eastAsia="仿宋_GB2312" w:cs="Times New Roman"/>
                <w:sz w:val="32"/>
                <w:szCs w:val="32"/>
                <w:lang w:val="en-US" w:eastAsia="zh-CN"/>
              </w:rPr>
              <w:t>举办特色活动。累计举办企业家联盟、天开大讲堂、天开沙龙、天开夜话等特色活动2000余场，持续汇聚智慧、碰撞思维，促进企业合作和创新资源高效配置，为园区发展注入活力。</w:t>
            </w:r>
          </w:p>
          <w:p>
            <w:pPr>
              <w:pStyle w:val="3"/>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lang w:val="en-US" w:eastAsia="zh-CN"/>
              </w:rPr>
            </w:pPr>
            <w:r>
              <w:rPr>
                <w:rFonts w:hint="eastAsia" w:ascii="黑体" w:hAnsi="黑体" w:eastAsia="黑体" w:cs="黑体"/>
                <w:sz w:val="32"/>
                <w:szCs w:val="32"/>
                <w:lang w:val="en-US" w:eastAsia="zh-CN"/>
              </w:rPr>
              <w:t>四、下一步工作</w:t>
            </w:r>
            <w:r>
              <w:rPr>
                <w:rFonts w:hint="eastAsia" w:eastAsia="黑体"/>
                <w:b w:val="0"/>
                <w:bCs w:val="0"/>
                <w:sz w:val="32"/>
                <w:szCs w:val="32"/>
              </w:rPr>
              <w:t>打算</w:t>
            </w:r>
          </w:p>
          <w:p>
            <w:pPr>
              <w:pStyle w:val="3"/>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2" w:firstLineChars="200"/>
              <w:textAlignment w:val="auto"/>
              <w:rPr>
                <w:rFonts w:hint="default" w:ascii="Times New Roman" w:hAnsi="Times New Roman" w:eastAsia="仿宋_GB2312" w:cs="Times New Roman"/>
                <w:sz w:val="32"/>
                <w:szCs w:val="32"/>
                <w:lang w:val="en" w:eastAsia="zh-CN"/>
              </w:rPr>
            </w:pPr>
            <w:r>
              <w:rPr>
                <w:rFonts w:hint="eastAsia" w:ascii="Times New Roman" w:hAnsi="Times New Roman" w:eastAsia="仿宋_GB2312" w:cs="Times New Roman"/>
                <w:b/>
                <w:bCs/>
                <w:sz w:val="32"/>
                <w:szCs w:val="32"/>
                <w:lang w:val="en-US" w:eastAsia="zh-CN"/>
              </w:rPr>
              <w:t>一是</w:t>
            </w:r>
            <w:r>
              <w:rPr>
                <w:rFonts w:hint="eastAsia" w:ascii="Times New Roman" w:hAnsi="Times New Roman" w:eastAsia="仿宋_GB2312" w:cs="Times New Roman"/>
                <w:sz w:val="32"/>
                <w:szCs w:val="32"/>
                <w:lang w:val="en-US" w:eastAsia="zh-CN"/>
              </w:rPr>
              <w:t>高站位谋划未来发展规划。</w:t>
            </w:r>
            <w:r>
              <w:rPr>
                <w:rFonts w:hint="default" w:ascii="Times New Roman" w:hAnsi="Times New Roman" w:eastAsia="仿宋_GB2312" w:cs="Times New Roman"/>
                <w:sz w:val="32"/>
                <w:szCs w:val="32"/>
                <w:lang w:val="en" w:eastAsia="zh-CN"/>
              </w:rPr>
              <w:t>立足落实国家重大发展战略，加强与各类规划的协同，</w:t>
            </w:r>
            <w:r>
              <w:rPr>
                <w:rFonts w:hint="eastAsia" w:ascii="Times New Roman" w:hAnsi="Times New Roman" w:eastAsia="仿宋_GB2312" w:cs="Times New Roman"/>
                <w:sz w:val="32"/>
                <w:szCs w:val="32"/>
                <w:lang w:val="en-US" w:eastAsia="zh-CN"/>
              </w:rPr>
              <w:t>研究谋划</w:t>
            </w:r>
            <w:r>
              <w:rPr>
                <w:rFonts w:hint="default" w:ascii="Times New Roman" w:hAnsi="Times New Roman" w:eastAsia="仿宋_GB2312" w:cs="Times New Roman"/>
                <w:sz w:val="32"/>
                <w:szCs w:val="32"/>
                <w:lang w:val="en" w:eastAsia="zh-CN"/>
              </w:rPr>
              <w:t>天开园</w:t>
            </w:r>
            <w:r>
              <w:rPr>
                <w:rFonts w:hint="eastAsia" w:eastAsia="仿宋_GB2312" w:cs="Times New Roman"/>
                <w:sz w:val="32"/>
                <w:szCs w:val="32"/>
                <w:lang w:val="en" w:eastAsia="zh-CN"/>
              </w:rPr>
              <w:t>“</w:t>
            </w:r>
            <w:r>
              <w:rPr>
                <w:rFonts w:hint="default" w:ascii="Times New Roman" w:hAnsi="Times New Roman" w:eastAsia="仿宋_GB2312" w:cs="Times New Roman"/>
                <w:sz w:val="32"/>
                <w:szCs w:val="32"/>
                <w:lang w:val="en" w:eastAsia="zh-CN"/>
              </w:rPr>
              <w:t>十五五</w:t>
            </w:r>
            <w:r>
              <w:rPr>
                <w:rFonts w:hint="eastAsia" w:eastAsia="仿宋_GB2312" w:cs="Times New Roman"/>
                <w:sz w:val="32"/>
                <w:szCs w:val="32"/>
                <w:lang w:val="en" w:eastAsia="zh-CN"/>
              </w:rPr>
              <w:t>”</w:t>
            </w:r>
            <w:r>
              <w:rPr>
                <w:rFonts w:hint="default" w:ascii="Times New Roman" w:hAnsi="Times New Roman" w:eastAsia="仿宋_GB2312" w:cs="Times New Roman"/>
                <w:sz w:val="32"/>
                <w:szCs w:val="32"/>
                <w:lang w:val="en" w:eastAsia="zh-CN"/>
              </w:rPr>
              <w:t>发展规划和产业发展规划</w:t>
            </w:r>
            <w:r>
              <w:rPr>
                <w:rFonts w:hint="eastAsia" w:ascii="Times New Roman" w:hAnsi="Times New Roman" w:eastAsia="仿宋_GB2312" w:cs="Times New Roman"/>
                <w:sz w:val="32"/>
                <w:szCs w:val="32"/>
                <w:lang w:val="en" w:eastAsia="zh-CN"/>
              </w:rPr>
              <w:t>，强化科技创新</w:t>
            </w:r>
            <w:r>
              <w:rPr>
                <w:rFonts w:hint="eastAsia" w:ascii="Times New Roman" w:hAnsi="Times New Roman" w:eastAsia="仿宋_GB2312" w:cs="Times New Roman"/>
                <w:sz w:val="32"/>
                <w:szCs w:val="32"/>
                <w:lang w:val="en-US" w:eastAsia="zh-CN"/>
              </w:rPr>
              <w:t>区域协作</w:t>
            </w:r>
            <w:r>
              <w:rPr>
                <w:rFonts w:hint="eastAsia" w:ascii="Times New Roman" w:hAnsi="Times New Roman" w:eastAsia="仿宋_GB2312" w:cs="Times New Roman"/>
                <w:sz w:val="32"/>
                <w:szCs w:val="32"/>
                <w:lang w:val="en" w:eastAsia="zh-CN"/>
              </w:rPr>
              <w:t>，</w:t>
            </w:r>
            <w:r>
              <w:rPr>
                <w:rFonts w:hint="eastAsia" w:ascii="Times New Roman" w:hAnsi="Times New Roman" w:eastAsia="仿宋_GB2312" w:cs="Times New Roman"/>
                <w:sz w:val="32"/>
                <w:szCs w:val="32"/>
                <w:lang w:val="en-US" w:eastAsia="zh-CN"/>
              </w:rPr>
              <w:t>推动“一核两翼多点”聚焦优势特色，优化资源配置，因地制宜发展新质生产力</w:t>
            </w:r>
            <w:r>
              <w:rPr>
                <w:rFonts w:hint="default" w:ascii="Times New Roman" w:hAnsi="Times New Roman" w:eastAsia="仿宋_GB2312" w:cs="Times New Roman"/>
                <w:sz w:val="32"/>
                <w:szCs w:val="32"/>
                <w:lang w:val="en" w:eastAsia="zh-CN"/>
              </w:rPr>
              <w:t>。</w:t>
            </w:r>
          </w:p>
          <w:p>
            <w:pPr>
              <w:pStyle w:val="3"/>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2" w:firstLineChars="200"/>
              <w:textAlignment w:val="auto"/>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b/>
                <w:bCs/>
                <w:sz w:val="32"/>
                <w:szCs w:val="32"/>
                <w:lang w:val="en-US" w:eastAsia="zh-CN"/>
              </w:rPr>
              <w:t>二是</w:t>
            </w:r>
            <w:r>
              <w:rPr>
                <w:rFonts w:hint="eastAsia" w:ascii="Times New Roman" w:hAnsi="Times New Roman" w:eastAsia="仿宋_GB2312" w:cs="Times New Roman"/>
                <w:sz w:val="32"/>
                <w:szCs w:val="32"/>
                <w:lang w:val="en-US" w:eastAsia="zh-CN"/>
              </w:rPr>
              <w:t>进一步完善政策体系。深入调研政策执行情况，开展执行成效评估；推进“一核两翼多点”政策熨平，完善2.0版政策细则，研究建立政策一致性评估等制度，持续强化科技、产业、金融、人才等政策配套衔接，提前谋划政策储备，提升政策设计精准度、有效性，建立健全“政府顶层设计”“天开园政策引导”“主体创新实践”的有序协作机制。</w:t>
            </w:r>
          </w:p>
          <w:p>
            <w:pPr>
              <w:pStyle w:val="3"/>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2" w:firstLineChars="200"/>
              <w:textAlignment w:val="auto"/>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b/>
                <w:bCs/>
                <w:sz w:val="32"/>
                <w:szCs w:val="32"/>
                <w:lang w:val="en-US" w:eastAsia="zh-CN"/>
              </w:rPr>
              <w:t>三是</w:t>
            </w:r>
            <w:r>
              <w:rPr>
                <w:rFonts w:hint="eastAsia" w:ascii="Times New Roman" w:hAnsi="Times New Roman" w:eastAsia="仿宋_GB2312" w:cs="Times New Roman"/>
                <w:sz w:val="32"/>
                <w:szCs w:val="32"/>
                <w:lang w:val="en-US" w:eastAsia="zh-CN"/>
              </w:rPr>
              <w:t>系统提升成果转化能力。研究推动高校、科研院所等建立有利于促进科技成果转化的绩效考核评价体系，激发科研人员创新与转化活力；支持高校加强技术转移机构建设和人才培养，扩大重点高校技术转移相关专业人才培养规模；研究完善科技成果市场化评价机制，探索通过“协议定价+公示”、挂牌、拍卖等多元化定价模式对科技成果潜在价值进行商业化评价；推动“先使用后付费”模式常态化推广，推动更多高校、科研院所科技成果向科技型中小企业“零门槛”开放。</w:t>
            </w:r>
          </w:p>
          <w:p>
            <w:pPr>
              <w:keepNext w:val="0"/>
              <w:keepLines w:val="0"/>
              <w:pageBreakBefore w:val="0"/>
              <w:widowControl w:val="0"/>
              <w:kinsoku/>
              <w:wordWrap/>
              <w:overflowPunct/>
              <w:topLinePunct w:val="0"/>
              <w:autoSpaceDE/>
              <w:autoSpaceDN/>
              <w:bidi w:val="0"/>
              <w:adjustRightInd/>
              <w:snapToGrid/>
              <w:spacing w:line="560" w:lineRule="exact"/>
              <w:ind w:left="0" w:leftChars="0" w:right="105" w:rightChars="50" w:firstLine="642" w:firstLineChars="200"/>
              <w:textAlignment w:val="auto"/>
              <w:rPr>
                <w:rFonts w:hint="default" w:eastAsia="仿宋_GB2312"/>
                <w:sz w:val="32"/>
                <w:lang w:val="en-US" w:eastAsia="zh-CN"/>
              </w:rPr>
            </w:pPr>
            <w:r>
              <w:rPr>
                <w:rFonts w:hint="eastAsia" w:ascii="Times New Roman" w:hAnsi="Times New Roman" w:eastAsia="仿宋_GB2312" w:cs="Times New Roman"/>
                <w:b/>
                <w:bCs/>
                <w:sz w:val="32"/>
                <w:szCs w:val="32"/>
                <w:lang w:val="en-US" w:eastAsia="zh-CN"/>
              </w:rPr>
              <w:t>四是</w:t>
            </w:r>
            <w:r>
              <w:rPr>
                <w:rFonts w:hint="eastAsia" w:ascii="Times New Roman" w:hAnsi="Times New Roman" w:eastAsia="仿宋_GB2312" w:cs="Times New Roman"/>
                <w:sz w:val="32"/>
                <w:szCs w:val="32"/>
                <w:lang w:val="en-US" w:eastAsia="zh-CN"/>
              </w:rPr>
              <w:t>进一步提升天开园运营服务能力。持续深化“政务、科创、金融、商务、知识”五类服务，保障专项资金投入为企业发展赋能；健全与高校院所、全国重点实验室、海河实验室等高能级创新平台的常态化对接机制；更加积极融入北京创新生态，引育更多高水平科创服务、金融服务机构，打造优质项目来津转化“首选地”和“中转站”；充分发挥市级天使母基金、海河产业基金等政府引导基金作用，积极争取央企资金、资源来津布局，引导社会资本在津设立更多投资基金推动更多金融资本投早、投小、投长期、投硬科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5000" w:type="pct"/>
            <w:tcBorders>
              <w:tl2br w:val="nil"/>
              <w:tr2bl w:val="nil"/>
            </w:tcBorders>
            <w:noWrap w:val="0"/>
            <w:vAlign w:val="top"/>
          </w:tcPr>
          <w:p>
            <w:pPr>
              <w:pStyle w:val="2"/>
              <w:rPr>
                <w:rFonts w:hint="eastAsia"/>
              </w:rPr>
            </w:pPr>
          </w:p>
          <w:p>
            <w:pPr>
              <w:rPr>
                <w:rFonts w:hint="eastAsia"/>
              </w:rPr>
            </w:pPr>
          </w:p>
          <w:p>
            <w:pPr>
              <w:pStyle w:val="2"/>
              <w:rPr>
                <w:rFonts w:hint="eastAsia"/>
              </w:rPr>
            </w:pPr>
            <w:bookmarkStart w:id="1" w:name="_GoBack"/>
            <w:bookmarkEnd w:id="1"/>
          </w:p>
          <w:p>
            <w:pPr>
              <w:spacing w:line="480" w:lineRule="exact"/>
              <w:ind w:right="105" w:rightChars="50"/>
              <w:jc w:val="center"/>
              <w:rPr>
                <w:rFonts w:hint="eastAsia" w:ascii="仿宋_GB2312" w:eastAsia="仿宋_GB2312"/>
                <w:sz w:val="32"/>
              </w:rPr>
            </w:pPr>
            <w:r>
              <w:rPr>
                <w:rFonts w:hint="eastAsia" w:ascii="仿宋_GB2312" w:eastAsia="仿宋_GB2312"/>
                <w:sz w:val="32"/>
                <w:lang w:val="en-US" w:eastAsia="zh-CN"/>
              </w:rPr>
              <w:t xml:space="preserve">                            </w:t>
            </w:r>
            <w:r>
              <w:rPr>
                <w:rFonts w:hint="default" w:ascii="Nimbus Roman No9 L" w:hAnsi="Nimbus Roman No9 L" w:eastAsia="仿宋_GB2312" w:cs="Nimbus Roman No9 L"/>
                <w:sz w:val="32"/>
                <w:lang w:val="en-US" w:eastAsia="zh-CN"/>
              </w:rPr>
              <w:t>2025</w:t>
            </w:r>
            <w:r>
              <w:rPr>
                <w:rFonts w:hint="eastAsia" w:ascii="仿宋_GB2312" w:eastAsia="仿宋_GB2312"/>
                <w:sz w:val="32"/>
                <w:lang w:val="en-US" w:eastAsia="zh-CN"/>
              </w:rPr>
              <w:t>年</w:t>
            </w:r>
            <w:r>
              <w:rPr>
                <w:rFonts w:hint="eastAsia" w:ascii="Nimbus Roman No9 L" w:hAnsi="Nimbus Roman No9 L" w:eastAsia="仿宋_GB2312" w:cs="Nimbus Roman No9 L"/>
                <w:sz w:val="32"/>
                <w:lang w:val="en-US" w:eastAsia="zh-CN"/>
              </w:rPr>
              <w:t>8</w:t>
            </w:r>
            <w:r>
              <w:rPr>
                <w:rFonts w:hint="eastAsia" w:ascii="仿宋_GB2312" w:eastAsia="仿宋_GB2312"/>
                <w:sz w:val="32"/>
                <w:lang w:val="en-US" w:eastAsia="zh-CN"/>
              </w:rPr>
              <w:t>月</w:t>
            </w:r>
            <w:r>
              <w:rPr>
                <w:rFonts w:hint="default" w:ascii="Nimbus Roman No9 L" w:hAnsi="Nimbus Roman No9 L" w:eastAsia="仿宋_GB2312" w:cs="Nimbus Roman No9 L"/>
                <w:sz w:val="32"/>
                <w:lang w:val="en" w:eastAsia="zh-CN"/>
              </w:rPr>
              <w:t>29</w:t>
            </w:r>
            <w:r>
              <w:rPr>
                <w:rFonts w:hint="eastAsia" w:ascii="仿宋_GB2312" w:eastAsia="仿宋_GB2312"/>
                <w:sz w:val="32"/>
                <w:lang w:val="en-US" w:eastAsia="zh-CN"/>
              </w:rPr>
              <w:t>日</w:t>
            </w:r>
            <w:r>
              <w:rPr>
                <w:rFonts w:hint="eastAsia" w:ascii="仿宋_GB2312" w:eastAsia="仿宋_GB2312"/>
                <w:sz w:val="32"/>
              </w:rPr>
              <w:t xml:space="preserve">   </w:t>
            </w:r>
          </w:p>
        </w:tc>
      </w:tr>
    </w:tbl>
    <w:p>
      <w:pPr>
        <w:tabs>
          <w:tab w:val="left" w:pos="1077"/>
        </w:tabs>
        <w:bidi w:val="0"/>
        <w:jc w:val="left"/>
        <w:rPr>
          <w:rFonts w:hint="eastAsia"/>
          <w:lang w:val="en-US" w:eastAsia="zh-CN"/>
        </w:rPr>
      </w:pPr>
    </w:p>
    <w:sectPr>
      <w:headerReference r:id="rId5" w:type="first"/>
      <w:footerReference r:id="rId8" w:type="first"/>
      <w:headerReference r:id="rId3" w:type="default"/>
      <w:footerReference r:id="rId6" w:type="default"/>
      <w:headerReference r:id="rId4" w:type="even"/>
      <w:footerReference r:id="rId7" w:type="even"/>
      <w:pgSz w:w="11906" w:h="16838"/>
      <w:pgMar w:top="2098" w:right="1361" w:bottom="1985" w:left="1474" w:header="851" w:footer="992" w:gutter="0"/>
      <w:pgBorders>
        <w:top w:val="none" w:sz="0" w:space="0"/>
        <w:left w:val="none" w:sz="0" w:space="0"/>
        <w:bottom w:val="none" w:sz="0" w:space="0"/>
        <w:right w:val="none" w:sz="0" w:space="0"/>
      </w:pgBorders>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Nimbus Roman No9 L">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center" w:y="1"/>
      <w:rPr>
        <w:rStyle w:val="10"/>
      </w:rPr>
    </w:pPr>
    <w:r>
      <w:rPr>
        <w:rStyle w:val="10"/>
      </w:rPr>
      <w:fldChar w:fldCharType="begin"/>
    </w:r>
    <w:r>
      <w:rPr>
        <w:rStyle w:val="10"/>
      </w:rPr>
      <w:instrText xml:space="preserve">PAGE  </w:instrText>
    </w:r>
    <w:r>
      <w:rPr>
        <w:rStyle w:val="10"/>
      </w:rPr>
      <w:fldChar w:fldCharType="separate"/>
    </w:r>
    <w:r>
      <w:rPr>
        <w:rStyle w:val="10"/>
      </w:rPr>
      <w:t>2</w:t>
    </w:r>
    <w:r>
      <w:rPr>
        <w:rStyle w:val="10"/>
      </w:rPr>
      <w:fldChar w:fldCharType="end"/>
    </w:r>
  </w:p>
  <w:p>
    <w:pPr>
      <w:pStyle w:val="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center" w:y="1"/>
      <w:rPr>
        <w:rStyle w:val="10"/>
      </w:rPr>
    </w:pPr>
    <w:r>
      <w:rPr>
        <w:rStyle w:val="10"/>
      </w:rPr>
      <w:fldChar w:fldCharType="begin"/>
    </w:r>
    <w:r>
      <w:rPr>
        <w:rStyle w:val="10"/>
      </w:rPr>
      <w:instrText xml:space="preserve">PAGE  </w:instrText>
    </w:r>
    <w:r>
      <w:rPr>
        <w:rStyle w:val="10"/>
      </w:rPr>
      <w:fldChar w:fldCharType="end"/>
    </w:r>
  </w:p>
  <w:p>
    <w:pPr>
      <w:pStyle w:val="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documentProtection w:edit="readOnly" w:enforcement="0"/>
  <w:defaultTabStop w:val="425"/>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72A27"/>
    <w:rsid w:val="0008725F"/>
    <w:rsid w:val="00116DAE"/>
    <w:rsid w:val="00151656"/>
    <w:rsid w:val="00160D66"/>
    <w:rsid w:val="0018011C"/>
    <w:rsid w:val="00181F02"/>
    <w:rsid w:val="001A7225"/>
    <w:rsid w:val="001F61E3"/>
    <w:rsid w:val="002371A3"/>
    <w:rsid w:val="00261F6E"/>
    <w:rsid w:val="00272F04"/>
    <w:rsid w:val="00272F5E"/>
    <w:rsid w:val="00296F01"/>
    <w:rsid w:val="002B29B1"/>
    <w:rsid w:val="002C1912"/>
    <w:rsid w:val="002F0464"/>
    <w:rsid w:val="002F2BA0"/>
    <w:rsid w:val="00307EB1"/>
    <w:rsid w:val="003308ED"/>
    <w:rsid w:val="00354A16"/>
    <w:rsid w:val="00372068"/>
    <w:rsid w:val="00375D6E"/>
    <w:rsid w:val="00382172"/>
    <w:rsid w:val="004277E8"/>
    <w:rsid w:val="00460BAF"/>
    <w:rsid w:val="004C2F93"/>
    <w:rsid w:val="0052525D"/>
    <w:rsid w:val="00575302"/>
    <w:rsid w:val="0059759C"/>
    <w:rsid w:val="005B7C6A"/>
    <w:rsid w:val="005D25F2"/>
    <w:rsid w:val="005E0C68"/>
    <w:rsid w:val="005E7285"/>
    <w:rsid w:val="005F2062"/>
    <w:rsid w:val="005F5E66"/>
    <w:rsid w:val="00663555"/>
    <w:rsid w:val="007616B6"/>
    <w:rsid w:val="007746FD"/>
    <w:rsid w:val="007B2223"/>
    <w:rsid w:val="007D7D3A"/>
    <w:rsid w:val="007E1B8B"/>
    <w:rsid w:val="008155F9"/>
    <w:rsid w:val="00821E10"/>
    <w:rsid w:val="008222BF"/>
    <w:rsid w:val="00843262"/>
    <w:rsid w:val="00883F64"/>
    <w:rsid w:val="00895F09"/>
    <w:rsid w:val="00917F65"/>
    <w:rsid w:val="00930E75"/>
    <w:rsid w:val="00953B90"/>
    <w:rsid w:val="00982E66"/>
    <w:rsid w:val="009A0C11"/>
    <w:rsid w:val="009A5A86"/>
    <w:rsid w:val="009F568A"/>
    <w:rsid w:val="00A01DE8"/>
    <w:rsid w:val="00A03B4F"/>
    <w:rsid w:val="00AE0062"/>
    <w:rsid w:val="00B21A65"/>
    <w:rsid w:val="00B32F4D"/>
    <w:rsid w:val="00B67BF0"/>
    <w:rsid w:val="00B96B7B"/>
    <w:rsid w:val="00C16116"/>
    <w:rsid w:val="00C40842"/>
    <w:rsid w:val="00C559AE"/>
    <w:rsid w:val="00CC5ACA"/>
    <w:rsid w:val="00CD3DDD"/>
    <w:rsid w:val="00CD5AEB"/>
    <w:rsid w:val="00D07119"/>
    <w:rsid w:val="00D47E88"/>
    <w:rsid w:val="00DC2D37"/>
    <w:rsid w:val="00E00CB1"/>
    <w:rsid w:val="00E20115"/>
    <w:rsid w:val="00E81C98"/>
    <w:rsid w:val="00E87832"/>
    <w:rsid w:val="00F20A91"/>
    <w:rsid w:val="00F34F3B"/>
    <w:rsid w:val="00F80197"/>
    <w:rsid w:val="02950A43"/>
    <w:rsid w:val="05FB352C"/>
    <w:rsid w:val="062C73BA"/>
    <w:rsid w:val="0F415A30"/>
    <w:rsid w:val="1A1A2EA1"/>
    <w:rsid w:val="1BE3569F"/>
    <w:rsid w:val="1F3F6CC4"/>
    <w:rsid w:val="1F9F8C22"/>
    <w:rsid w:val="20FE4F37"/>
    <w:rsid w:val="22666FCA"/>
    <w:rsid w:val="23957D52"/>
    <w:rsid w:val="265833FB"/>
    <w:rsid w:val="2A106D0B"/>
    <w:rsid w:val="2DCA2874"/>
    <w:rsid w:val="377A2E5E"/>
    <w:rsid w:val="385C0DBD"/>
    <w:rsid w:val="3A57702C"/>
    <w:rsid w:val="3FCBF5EE"/>
    <w:rsid w:val="3FF30C8F"/>
    <w:rsid w:val="43FB295C"/>
    <w:rsid w:val="447E3320"/>
    <w:rsid w:val="45CB5298"/>
    <w:rsid w:val="4B30475B"/>
    <w:rsid w:val="4CA33CB0"/>
    <w:rsid w:val="4D14258D"/>
    <w:rsid w:val="4F843BDE"/>
    <w:rsid w:val="4FB781C6"/>
    <w:rsid w:val="57073EC0"/>
    <w:rsid w:val="577F8EBF"/>
    <w:rsid w:val="59C6063C"/>
    <w:rsid w:val="63E612D4"/>
    <w:rsid w:val="65FE6FF9"/>
    <w:rsid w:val="693053CC"/>
    <w:rsid w:val="6AB50BAB"/>
    <w:rsid w:val="6AFC9A42"/>
    <w:rsid w:val="6CA056C1"/>
    <w:rsid w:val="6D957ABF"/>
    <w:rsid w:val="6EF9B54A"/>
    <w:rsid w:val="6FFA79CA"/>
    <w:rsid w:val="7312333B"/>
    <w:rsid w:val="75561D3A"/>
    <w:rsid w:val="76F7302E"/>
    <w:rsid w:val="77E771DA"/>
    <w:rsid w:val="77EEE854"/>
    <w:rsid w:val="7952225A"/>
    <w:rsid w:val="79B3FF97"/>
    <w:rsid w:val="7AFE98E8"/>
    <w:rsid w:val="7B93F4C3"/>
    <w:rsid w:val="7BF58172"/>
    <w:rsid w:val="7BFDDD5B"/>
    <w:rsid w:val="7D174045"/>
    <w:rsid w:val="7D906DB7"/>
    <w:rsid w:val="7E674295"/>
    <w:rsid w:val="7F5FDBBB"/>
    <w:rsid w:val="7F7EAA59"/>
    <w:rsid w:val="7F9FCABA"/>
    <w:rsid w:val="9F3E0E79"/>
    <w:rsid w:val="9F9DFACE"/>
    <w:rsid w:val="BDC64CF6"/>
    <w:rsid w:val="BF3F4413"/>
    <w:rsid w:val="BFE7A575"/>
    <w:rsid w:val="BFFE2E14"/>
    <w:rsid w:val="DBCD3CF5"/>
    <w:rsid w:val="EB2BA7A2"/>
    <w:rsid w:val="EEE730A8"/>
    <w:rsid w:val="F4FF6777"/>
    <w:rsid w:val="F7FB7399"/>
    <w:rsid w:val="F9537266"/>
    <w:rsid w:val="F9F7E5B4"/>
    <w:rsid w:val="FBBB6880"/>
    <w:rsid w:val="FBEA3771"/>
    <w:rsid w:val="FD6F5A07"/>
    <w:rsid w:val="FDF79F75"/>
    <w:rsid w:val="FFBF95ED"/>
    <w:rsid w:val="FFDFEBD4"/>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99"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nhideWhenUsed="0" w:uiPriority="0" w:name="Default Paragraph Font"/>
    <w:lsdException w:qFormat="1" w:unhideWhenUsed="0" w:uiPriority="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9">
    <w:name w:val="Default Paragraph Font"/>
    <w:semiHidden/>
    <w:qFormat/>
    <w:uiPriority w:val="0"/>
  </w:style>
  <w:style w:type="table" w:default="1" w:styleId="7">
    <w:name w:val="Normal Table"/>
    <w:unhideWhenUsed/>
    <w:qFormat/>
    <w:uiPriority w:val="99"/>
    <w:tblPr>
      <w:tblCellMar>
        <w:top w:w="0" w:type="dxa"/>
        <w:left w:w="108" w:type="dxa"/>
        <w:bottom w:w="0" w:type="dxa"/>
        <w:right w:w="108" w:type="dxa"/>
      </w:tblCellMar>
    </w:tblPr>
  </w:style>
  <w:style w:type="paragraph" w:styleId="2">
    <w:name w:val="Body Text"/>
    <w:basedOn w:val="1"/>
    <w:next w:val="1"/>
    <w:semiHidden/>
    <w:qFormat/>
    <w:uiPriority w:val="0"/>
    <w:pPr>
      <w:jc w:val="center"/>
    </w:pPr>
    <w:rPr>
      <w:rFonts w:ascii="宋体"/>
      <w:b/>
      <w:bCs/>
      <w:sz w:val="44"/>
    </w:rPr>
  </w:style>
  <w:style w:type="paragraph" w:styleId="3">
    <w:name w:val="Normal Indent"/>
    <w:basedOn w:val="1"/>
    <w:unhideWhenUsed/>
    <w:qFormat/>
    <w:uiPriority w:val="99"/>
    <w:pPr>
      <w:ind w:firstLine="420" w:firstLineChars="200"/>
    </w:pPr>
  </w:style>
  <w:style w:type="paragraph" w:styleId="4">
    <w:name w:val="Date"/>
    <w:basedOn w:val="1"/>
    <w:next w:val="1"/>
    <w:semiHidden/>
    <w:qFormat/>
    <w:uiPriority w:val="0"/>
    <w:pPr>
      <w:ind w:left="100" w:leftChars="2500"/>
    </w:pPr>
    <w:rPr>
      <w:rFonts w:ascii="仿宋_GB2312" w:eastAsia="仿宋_GB2312"/>
      <w:sz w:val="32"/>
    </w:rPr>
  </w:style>
  <w:style w:type="paragraph" w:styleId="5">
    <w:name w:val="footer"/>
    <w:basedOn w:val="1"/>
    <w:link w:val="11"/>
    <w:unhideWhenUsed/>
    <w:qFormat/>
    <w:uiPriority w:val="99"/>
    <w:pPr>
      <w:tabs>
        <w:tab w:val="center" w:pos="4153"/>
        <w:tab w:val="right" w:pos="8306"/>
      </w:tabs>
      <w:snapToGrid w:val="0"/>
      <w:jc w:val="left"/>
    </w:pPr>
    <w:rPr>
      <w:sz w:val="18"/>
      <w:szCs w:val="18"/>
    </w:rPr>
  </w:style>
  <w:style w:type="paragraph" w:styleId="6">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table" w:styleId="8">
    <w:name w:val="Table Grid"/>
    <w:basedOn w:val="7"/>
    <w:qFormat/>
    <w:uiPriority w:val="5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0">
    <w:name w:val="page number"/>
    <w:basedOn w:val="9"/>
    <w:qFormat/>
    <w:uiPriority w:val="0"/>
  </w:style>
  <w:style w:type="character" w:customStyle="1" w:styleId="11">
    <w:name w:val=" Char Char"/>
    <w:basedOn w:val="9"/>
    <w:link w:val="5"/>
    <w:semiHidden/>
    <w:qFormat/>
    <w:uiPriority w:val="99"/>
    <w:rPr>
      <w:kern w:val="2"/>
      <w:sz w:val="18"/>
      <w:szCs w:val="18"/>
    </w:rPr>
  </w:style>
  <w:style w:type="character" w:customStyle="1" w:styleId="12">
    <w:name w:val=" Char Char1"/>
    <w:basedOn w:val="9"/>
    <w:link w:val="6"/>
    <w:semiHidden/>
    <w:qFormat/>
    <w:uiPriority w:val="99"/>
    <w:rPr>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spice</Company>
  <Pages>5</Pages>
  <Words>341</Words>
  <Characters>1948</Characters>
  <Lines>16</Lines>
  <Paragraphs>4</Paragraphs>
  <TotalTime>14</TotalTime>
  <ScaleCrop>false</ScaleCrop>
  <LinksUpToDate>false</LinksUpToDate>
  <CharactersWithSpaces>2285</CharactersWithSpaces>
  <Application>WPS Office_11.8.2.10386_F1E327BC-269C-435d-A152-05C5408002CA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2021-04-11T11:49:00Z</dcterms:created>
  <dc:creator>wjc</dc:creator>
  <cp:lastModifiedBy>李长卿</cp:lastModifiedBy>
  <dcterms:modified xsi:type="dcterms:W3CDTF">2025-12-17T16:22:40Z</dcterms:modified>
  <dc:title>各区县委办局办公室：</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2052-11.8.2.10386</vt:lpwstr>
  </property>
</Properties>
</file>