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hAnsi="宋体" w:eastAsia="仿宋_GB2312"/>
          <w:sz w:val="30"/>
        </w:rPr>
      </w:pPr>
      <w:bookmarkStart w:id="4" w:name="_GoBack"/>
      <w:bookmarkEnd w:id="4"/>
    </w:p>
    <w:p>
      <w:pPr>
        <w:rPr>
          <w:rFonts w:hint="eastAsia" w:ascii="仿宋_GB2312" w:hAnsi="宋体" w:eastAsia="仿宋_GB2312"/>
          <w:sz w:val="13"/>
          <w:szCs w:val="13"/>
        </w:rPr>
      </w:pPr>
    </w:p>
    <w:tbl>
      <w:tblPr>
        <w:tblStyle w:val="8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44"/>
                <w:lang w:val="en-US" w:eastAsia="zh-CN"/>
              </w:rPr>
            </w:pPr>
            <w:bookmarkStart w:id="0" w:name="bt"/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对市十八届人大三次会议</w:t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第</w:t>
            </w:r>
            <w:r>
              <w:rPr>
                <w:rFonts w:hint="eastAsia" w:ascii="Nimbus Roman No9 L" w:hAnsi="Nimbus Roman No9 L" w:cs="Nimbus Roman No9 L"/>
                <w:b w:val="0"/>
                <w:bCs w:val="0"/>
                <w:sz w:val="44"/>
                <w:lang w:val="en-US" w:eastAsia="zh-CN"/>
              </w:rPr>
              <w:t>0003</w:t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号建议的落实答复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rFonts w:eastAsia="仿宋_GB2312"/>
                <w:sz w:val="32"/>
              </w:rPr>
            </w:pPr>
            <w:bookmarkStart w:id="1" w:name="chenghu"/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刘智</w:t>
            </w:r>
            <w:r>
              <w:rPr>
                <w:rFonts w:hint="eastAsia" w:eastAsia="仿宋_GB2312"/>
                <w:sz w:val="32"/>
                <w:lang w:val="en-US" w:eastAsia="zh-CN"/>
              </w:rPr>
              <w:t>代表</w:t>
            </w:r>
            <w:bookmarkEnd w:id="1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  <w:szCs w:val="18"/>
              </w:rPr>
              <w:t>　　</w:t>
            </w:r>
            <w:bookmarkStart w:id="2" w:name="shuo"/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您提出的关于让民营企业在科技创新中释放更多活力的建议，经会同天津市发展和改革委员会研究答复如下</w:t>
            </w:r>
            <w:bookmarkEnd w:id="2"/>
            <w:r>
              <w:rPr>
                <w:rFonts w:eastAsia="仿宋_GB2312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105" w:rightChars="50" w:firstLine="640" w:firstLineChars="200"/>
              <w:textAlignment w:val="auto"/>
              <w:rPr>
                <w:rFonts w:hint="eastAsia" w:ascii="Nimbus Roman No9 L" w:hAnsi="Nimbus Roman No9 L" w:eastAsia="仿宋_GB2312" w:cs="Times New Roman"/>
                <w:b/>
                <w:bCs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天津市委、市政府高度重视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民营企业科技创新工作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，积极</w:t>
            </w:r>
            <w:r>
              <w:rPr>
                <w:rFonts w:hint="eastAsia" w:ascii="Nimbus Roman No9 L" w:hAnsi="Nimbus Roman No9 L" w:eastAsia="仿宋_GB2312" w:cs="Nimbus Roman No9 L"/>
                <w:color w:val="auto"/>
                <w:kern w:val="0"/>
                <w:sz w:val="32"/>
                <w:szCs w:val="32"/>
                <w:lang w:val="en-US" w:eastAsia="zh-CN"/>
              </w:rPr>
              <w:t>贯彻落实习近平总书记在民营企业座谈会上的重要讲话精神，召开全市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进一步推动民营经济高质量发展大会，</w:t>
            </w:r>
            <w:r>
              <w:rPr>
                <w:rFonts w:hint="eastAsia" w:ascii="Nimbus Roman No9 L" w:hAnsi="Nimbus Roman No9 L" w:eastAsia="仿宋_GB2312" w:cs="Nimbus Roman No9 L"/>
                <w:color w:val="auto"/>
                <w:kern w:val="0"/>
                <w:sz w:val="32"/>
                <w:szCs w:val="32"/>
                <w:lang w:val="en-US" w:eastAsia="zh-CN"/>
              </w:rPr>
              <w:t>强化政策支持，助力提升民营企业科技创新能力。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105" w:rightChars="50" w:firstLine="642" w:firstLineChars="200"/>
              <w:textAlignment w:val="auto"/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highlight w:val="none"/>
                <w:u w:val="none" w:color="auto"/>
                <w:lang w:eastAsia="zh-CN"/>
              </w:rPr>
              <w:t>一是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积极推动民营企业高质量发展</w:t>
            </w:r>
            <w:r>
              <w:rPr>
                <w:rFonts w:hint="eastAsia" w:eastAsia="仿宋_GB2312" w:cs="Times New Roman"/>
                <w:b/>
                <w:bCs/>
                <w:sz w:val="32"/>
                <w:szCs w:val="32"/>
                <w:highlight w:val="none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eastAsia="zh-CN"/>
              </w:rPr>
              <w:t>市民营经济发展工作领导小组组织各区横向交流，分场次、分批次召开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val="en-US" w:eastAsia="zh-CN"/>
              </w:rPr>
              <w:t>16</w:t>
            </w:r>
            <w:r>
              <w:rPr>
                <w:rFonts w:hint="eastAsia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val="en-US" w:eastAsia="zh-CN"/>
              </w:rPr>
              <w:t>个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val="en-US" w:eastAsia="zh-CN"/>
              </w:rPr>
              <w:t>区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eastAsia="zh-CN"/>
              </w:rPr>
              <w:t>座谈会，与民营企业和商协会代表面对面交流研讨。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val="en-US" w:eastAsia="zh-CN"/>
              </w:rPr>
              <w:t>印发实施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lang w:val="en-US" w:eastAsia="zh-CN"/>
              </w:rPr>
              <w:t>《202</w:t>
            </w:r>
            <w:r>
              <w:rPr>
                <w:rFonts w:hint="default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lang w:val="en-US" w:eastAsia="zh-CN"/>
              </w:rPr>
              <w:t>年天津市民营经济发展工作领导小组工作要点》，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eastAsia="zh-CN"/>
              </w:rPr>
              <w:t>推动</w:t>
            </w:r>
            <w:r>
              <w:rPr>
                <w:rFonts w:hint="default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val="en-US" w:eastAsia="zh-CN"/>
              </w:rPr>
              <w:t>46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eastAsia="zh-CN"/>
              </w:rPr>
              <w:t>项重点任务落实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u w:val="none" w:color="auto"/>
                <w:lang w:val="en-US" w:eastAsia="zh-CN"/>
              </w:rPr>
              <w:t>。推动“支持民营经济发展17条措施”和“促进民营经济发展壮大29条”政策落地。</w:t>
            </w:r>
          </w:p>
          <w:p>
            <w:pPr>
              <w:spacing w:line="560" w:lineRule="exact"/>
              <w:ind w:left="0" w:leftChars="0" w:right="105" w:rightChars="50" w:firstLine="642" w:firstLineChars="200"/>
              <w:rPr>
                <w:rFonts w:hint="eastAsia" w:ascii="Times New Roman" w:hAnsi="Times New Roman" w:eastAsia="仿宋_GB2312" w:cs="Times New Roman"/>
                <w:b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lang w:val="en-US" w:eastAsia="zh-CN"/>
              </w:rPr>
              <w:t>二是出台支持科技型企业高质量发展的政策措施。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为进一步强化企业科技创新主体地位，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val="en-US" w:eastAsia="zh-CN"/>
              </w:rPr>
              <w:t>5月份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，市科技局制定《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" w:eastAsia="zh-CN" w:bidi="ar-SA"/>
              </w:rPr>
              <w:t>关于支持科技型企业高质量发展的若干政策措施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》，经市政府常务会议审议通过后正式印发，</w:t>
            </w:r>
            <w:r>
              <w:rPr>
                <w:rFonts w:hint="eastAsia" w:ascii="Nimbus Roman No9 L" w:hAnsi="Nimbus Roman No9 L" w:eastAsia="仿宋_GB2312" w:cs="Nimbus Roman No9 L"/>
                <w:b w:val="0"/>
                <w:bCs/>
                <w:snapToGrid w:val="0"/>
                <w:kern w:val="0"/>
                <w:sz w:val="32"/>
                <w:szCs w:val="32"/>
                <w:lang w:eastAsia="zh-CN"/>
              </w:rPr>
              <w:t>从加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eastAsia="zh-CN"/>
              </w:rPr>
              <w:t>强科技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eastAsia="zh-CN"/>
              </w:rPr>
              <w:t>型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eastAsia="zh-CN"/>
              </w:rPr>
              <w:t>企业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eastAsia="zh-CN"/>
              </w:rPr>
              <w:t>梯度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eastAsia="zh-CN"/>
              </w:rPr>
              <w:t>培育、提升科技型企业重大技术创新和成果转化能力、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val="en-US" w:eastAsia="zh-CN"/>
              </w:rPr>
              <w:t>优化科技型企业创新服务生态、促进科技型企业区域协同创新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kern w:val="0"/>
                <w:sz w:val="32"/>
                <w:szCs w:val="32"/>
                <w:lang w:val="en-US" w:eastAsia="zh-CN"/>
              </w:rPr>
              <w:t>等四个方面提出17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  <w:t>项具体措施，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强化科技创新政策的协同和整体效应，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  <w:t>大力推动民营</w:t>
            </w:r>
            <w:r>
              <w:rPr>
                <w:rFonts w:hint="eastAsia" w:eastAsia="仿宋_GB2312" w:cs="Times New Roman"/>
                <w:b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  <w:t>科技型</w:t>
            </w:r>
            <w:r>
              <w:rPr>
                <w:rFonts w:hint="eastAsia" w:ascii="Times New Roman" w:hAnsi="Times New Roman" w:eastAsia="仿宋_GB2312" w:cs="Times New Roman"/>
                <w:b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  <w:t>企业高质量发展。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9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2" w:firstLineChars="200"/>
              <w:jc w:val="both"/>
              <w:textAlignment w:val="auto"/>
              <w:outlineLvl w:val="9"/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lang w:val="en-US" w:eastAsia="zh-CN"/>
              </w:rPr>
              <w:t>三是加强科技型企业培育。</w:t>
            </w:r>
            <w:r>
              <w:rPr>
                <w:rFonts w:hint="eastAsia" w:ascii="Nimbus Roman No9 L" w:hAnsi="Nimbus Roman No9 L" w:eastAsia="仿宋_GB2312" w:cs="Nimbus Roman No9 L"/>
                <w:b w:val="0"/>
                <w:bCs/>
                <w:snapToGrid w:val="0"/>
                <w:kern w:val="0"/>
                <w:sz w:val="32"/>
                <w:szCs w:val="32"/>
                <w:lang w:val="en-US" w:eastAsia="zh-CN" w:bidi="ar-SA"/>
              </w:rPr>
              <w:t>印发《天津市猎豹企业评价办法》，组织市级、区级开展政策宣讲和业务培训30场，覆盖21个区（功能区）。5月下旬正式启动猎豹企业评价工作，共有251家企业通过评价，其中115家为民营企业，分布在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  <w:t>高端装备、新材料、医药卫生、新能源、汽车制造、航空航天、人工智能等多个领域</w:t>
            </w:r>
            <w:r>
              <w:rPr>
                <w:rFonts w:hint="eastAsia" w:ascii="Nimbus Roman No9 L" w:hAnsi="Nimbus Roman No9 L" w:eastAsia="仿宋_GB2312" w:cs="Nimbus Roman No9 L"/>
                <w:b w:val="0"/>
                <w:bCs/>
                <w:snapToGrid w:val="0"/>
                <w:kern w:val="0"/>
                <w:sz w:val="32"/>
                <w:szCs w:val="32"/>
                <w:lang w:val="en-US" w:eastAsia="zh-CN" w:bidi="ar-SA"/>
              </w:rPr>
              <w:t>。6月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  <w:t>底，按照工信部统一部署，启动国家科技型中小企业评价工作，目前已</w:t>
            </w:r>
            <w:r>
              <w:rPr>
                <w:rFonts w:hint="eastAsia" w:ascii="Nimbus Roman No9 L" w:hAnsi="Nimbus Roman No9 L" w:eastAsia="仿宋_GB2312" w:cs="Nimbus Roman No9 L"/>
                <w:b w:val="0"/>
                <w:bCs/>
                <w:snapToGrid w:val="0"/>
                <w:kern w:val="0"/>
                <w:sz w:val="32"/>
                <w:szCs w:val="32"/>
                <w:lang w:val="en-US" w:eastAsia="zh-CN" w:bidi="ar-SA"/>
              </w:rPr>
              <w:t>有4534家企业通过评价，其中95%以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  <w:t>上为民营企业。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9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2" w:firstLineChars="200"/>
              <w:jc w:val="both"/>
              <w:textAlignment w:val="auto"/>
              <w:outlineLvl w:val="9"/>
              <w:rPr>
                <w:rFonts w:hint="default" w:ascii="Nimbus Roman No9 L" w:hAnsi="Nimbus Roman No9 L" w:eastAsia="仿宋_GB2312" w:cs="Nimbus Roman No9 L"/>
                <w:sz w:val="32"/>
                <w:szCs w:val="32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lang w:val="en-US" w:eastAsia="zh-CN"/>
              </w:rPr>
              <w:t>四是强化科技金融赋能作用。</w:t>
            </w:r>
            <w:r>
              <w:rPr>
                <w:rFonts w:hint="default" w:eastAsia="仿宋_GB2312" w:cs="Times New Roman"/>
                <w:color w:val="auto"/>
                <w:sz w:val="32"/>
                <w:szCs w:val="32"/>
                <w:lang w:val="en-US" w:eastAsia="zh-CN"/>
              </w:rPr>
              <w:t>做强科创引导基金，畅通股权融资渠道</w:t>
            </w:r>
            <w:r>
              <w:rPr>
                <w:rFonts w:hint="eastAsia" w:eastAsia="仿宋_GB2312" w:cs="Times New Roman"/>
                <w:color w:val="auto"/>
                <w:sz w:val="32"/>
                <w:szCs w:val="32"/>
                <w:lang w:val="en-US" w:eastAsia="zh-CN"/>
              </w:rPr>
              <w:t>，</w:t>
            </w:r>
            <w:r>
              <w:rPr>
                <w:rFonts w:hint="default" w:eastAsia="仿宋_GB2312" w:cs="Times New Roman"/>
                <w:color w:val="auto"/>
                <w:sz w:val="32"/>
                <w:szCs w:val="32"/>
                <w:lang w:val="en-US" w:eastAsia="zh-CN"/>
              </w:rPr>
              <w:t>加大市级天使母基金</w:t>
            </w:r>
            <w:r>
              <w:rPr>
                <w:rFonts w:hint="default" w:ascii="Nimbus Roman No9 L" w:hAnsi="Nimbus Roman No9 L" w:eastAsia="仿宋_GB2312" w:cs="Nimbus Roman No9 L"/>
                <w:sz w:val="32"/>
                <w:szCs w:val="32"/>
              </w:rPr>
              <w:t>、京津冀科技成果转化基金、天开九安科创母基金等科创引导基金工作力度，</w:t>
            </w:r>
            <w:r>
              <w:rPr>
                <w:rFonts w:hint="eastAsia" w:ascii="Nimbus Roman No9 L" w:hAnsi="Nimbus Roman No9 L" w:eastAsia="仿宋_GB2312" w:cs="Nimbus Roman No9 L"/>
                <w:sz w:val="32"/>
                <w:szCs w:val="32"/>
                <w:lang w:eastAsia="zh-CN"/>
              </w:rPr>
              <w:t>截至目前，</w:t>
            </w:r>
            <w:r>
              <w:rPr>
                <w:rFonts w:hint="eastAsia" w:ascii="Nimbus Roman No9 L" w:hAnsi="Nimbus Roman No9 L" w:eastAsia="仿宋_GB2312" w:cs="Nimbus Roman No9 L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三支科创母基金</w:t>
            </w:r>
            <w:r>
              <w:rPr>
                <w:rFonts w:hint="eastAsia" w:ascii="Nimbus Roman No9 L" w:hAnsi="Nimbus Roman No9 L" w:eastAsia="仿宋_GB2312" w:cs="Nimbus Roman No9 L"/>
                <w:color w:val="000000"/>
                <w:sz w:val="32"/>
                <w:szCs w:val="32"/>
                <w:highlight w:val="none"/>
                <w:lang w:eastAsia="zh-CN"/>
              </w:rPr>
              <w:t>累计</w:t>
            </w:r>
            <w:r>
              <w:rPr>
                <w:rFonts w:hint="eastAsia" w:ascii="Nimbus Roman No9 L" w:hAnsi="Nimbus Roman No9 L" w:eastAsia="仿宋_GB2312" w:cs="Nimbus Roman No9 L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吸引社会资本81.86亿元，设立科创子基金30支，基金规模105.44亿元，社会资本撬动3.47倍，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完成投资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146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项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，全部投向民营企业，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投资金额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34.87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亿元，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为民营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科技型企业</w:t>
            </w:r>
            <w:r>
              <w:rPr>
                <w:rFonts w:hint="eastAsia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提供源源不断的金融“活水”</w:t>
            </w:r>
            <w:r>
              <w:rPr>
                <w:rFonts w:hint="default" w:ascii="Nimbus Roman No9 L" w:hAnsi="Nimbus Roman No9 L" w:eastAsia="仿宋_GB2312" w:cs="Nimbus Roman No9 L"/>
                <w:b w:val="0"/>
                <w:bCs w:val="0"/>
                <w:snapToGrid w:val="0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  <w:t>。</w:t>
            </w:r>
          </w:p>
          <w:p>
            <w:pPr>
              <w:spacing w:line="560" w:lineRule="exact"/>
              <w:ind w:left="0" w:leftChars="0" w:right="105" w:rightChars="50" w:firstLine="642" w:firstLineChars="200"/>
              <w:rPr>
                <w:rFonts w:hint="eastAsia" w:eastAsia="仿宋_GB2312"/>
                <w:sz w:val="32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lang w:val="en" w:eastAsia="zh-CN"/>
              </w:rPr>
              <w:t>五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lang w:val="en" w:eastAsia="zh-CN"/>
              </w:rPr>
              <w:t>是提升</w:t>
            </w:r>
            <w:r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lang w:val="en" w:eastAsia="zh-CN"/>
              </w:rPr>
              <w:t>大型仪器设施开放共享能力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lang w:val="en" w:eastAsia="zh-CN"/>
              </w:rPr>
              <w:t>。</w:t>
            </w:r>
            <w:r>
              <w:rPr>
                <w:rFonts w:hint="eastAsia" w:ascii="Nimbus Roman No9 L" w:hAnsi="Nimbus Roman No9 L" w:eastAsia="仿宋_GB2312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kern w:val="2"/>
                <w:sz w:val="32"/>
                <w:szCs w:val="32"/>
                <w:highlight w:val="none"/>
                <w:u w:val="none"/>
                <w:shd w:val="clear" w:color="auto" w:fill="auto"/>
                <w:lang w:val="en" w:eastAsia="zh-CN" w:bidi="ar-SA"/>
              </w:rPr>
              <w:t>持续推动大型仪器、重大科技基础设施向民营科技型企业深度</w:t>
            </w:r>
            <w:r>
              <w:rPr>
                <w:rFonts w:hint="eastAsia" w:eastAsia="仿宋_GB2312" w:cs="Times New Roman"/>
                <w:b w:val="0"/>
                <w:bCs/>
                <w:color w:val="auto"/>
                <w:sz w:val="32"/>
                <w:lang w:val="en-US" w:eastAsia="zh-CN"/>
              </w:rPr>
              <w:t>开放共享。</w:t>
            </w:r>
            <w:r>
              <w:rPr>
                <w:rFonts w:hint="eastAsia" w:eastAsia="仿宋_GB2312"/>
                <w:sz w:val="32"/>
                <w:lang w:val="en-US" w:eastAsia="zh-CN"/>
              </w:rPr>
              <w:t>上半年新入网大型科研仪器342台（套），较去年末增长8%，仪器管理单位累计达103家，共享大型科研仪器达到4560台（套），平台仪器总价值超83亿元。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/>
              <w:textAlignment w:val="auto"/>
              <w:rPr>
                <w:rFonts w:hint="eastAsia" w:eastAsia="仿宋_GB2312" w:cs="Times New Roman"/>
                <w:color w:val="auto"/>
                <w:sz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lang w:val="en-US" w:eastAsia="zh-CN"/>
              </w:rPr>
              <w:t>下一步，将持续优化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highlight w:val="none"/>
                <w:lang w:val="en-US" w:eastAsia="zh-CN"/>
              </w:rPr>
              <w:t>“</w:t>
            </w:r>
            <w:r>
              <w:rPr>
                <w:rFonts w:hint="eastAsia" w:eastAsia="仿宋_GB2312" w:cs="Times New Roman"/>
                <w:color w:val="auto"/>
                <w:sz w:val="32"/>
                <w:highlight w:val="none"/>
                <w:lang w:val="en-US" w:eastAsia="zh-CN"/>
              </w:rPr>
              <w:t>科技型中小企业—高新技术企业—科技领军企业”梯度培育机制</w:t>
            </w:r>
            <w:r>
              <w:rPr>
                <w:rFonts w:hint="eastAsia" w:eastAsia="仿宋_GB2312" w:cs="Times New Roman"/>
                <w:color w:val="auto"/>
                <w:sz w:val="32"/>
                <w:lang w:val="en-US" w:eastAsia="zh-CN"/>
              </w:rPr>
              <w:t>，持续壮大创新主体数量和规模。启动支持企业</w:t>
            </w:r>
            <w:r>
              <w:rPr>
                <w:rFonts w:hint="eastAsia" w:ascii="Nimbus Roman No9 L" w:hAnsi="Nimbus Roman No9 L" w:eastAsia="仿宋_GB2312" w:cs="Nimbus Roman No9 L"/>
                <w:b w:val="0"/>
                <w:bCs/>
                <w:snapToGrid w:val="0"/>
                <w:kern w:val="0"/>
                <w:sz w:val="32"/>
                <w:szCs w:val="32"/>
                <w:lang w:val="en-US" w:eastAsia="zh-CN" w:bidi="ar-SA"/>
              </w:rPr>
              <w:t>研发能力建设项目，支持科技型中小企业、高新技术企业、猎豹企业通过购置科研仪器设备、建设内设研发机构等方式，加大研发投入，提升研发能力。聚焦</w:t>
            </w:r>
            <w:r>
              <w:rPr>
                <w:rFonts w:hint="eastAsia" w:ascii="Nimbus Roman No9 L" w:hAnsi="Nimbus Roman No9 L" w:eastAsia="仿宋_GB2312" w:cs="Nimbus Roman No9 L"/>
                <w:b w:val="0"/>
                <w:bCs/>
                <w:snapToGrid w:val="0"/>
                <w:kern w:val="0"/>
                <w:sz w:val="32"/>
                <w:szCs w:val="32"/>
                <w:lang w:val="en" w:eastAsia="zh-CN" w:bidi="ar-SA"/>
              </w:rPr>
              <w:t>生物医药、人工智能、绿色低碳、未来产业等重点领域，实施一批科技重大项目，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u w:val="none"/>
                <w:lang w:val="en" w:eastAsia="zh-CN" w:bidi="ar-SA"/>
              </w:rPr>
              <w:t>开展“卡脖子”技术和前沿引领性技术攻关，进一步强化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" w:eastAsia="zh-CN"/>
              </w:rPr>
              <w:t>企业科技创新主体地位，</w:t>
            </w:r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让民营企业在科技创新中释放更多活力，实现高质量发展。</w:t>
            </w:r>
          </w:p>
          <w:p>
            <w:pPr>
              <w:spacing w:line="560" w:lineRule="exact"/>
              <w:ind w:left="0" w:leftChars="0" w:right="105" w:rightChars="50" w:firstLine="640" w:firstLineChars="200"/>
              <w:rPr>
                <w:rFonts w:hint="eastAsia" w:eastAsia="仿宋_GB2312"/>
                <w:sz w:val="32"/>
                <w:lang w:val="en-US" w:eastAsia="zh-CN"/>
              </w:rPr>
            </w:pPr>
          </w:p>
          <w:p>
            <w:pPr>
              <w:spacing w:line="560" w:lineRule="exact"/>
              <w:ind w:right="105" w:rightChars="50"/>
              <w:rPr>
                <w:rFonts w:hint="default" w:eastAsia="仿宋_GB2312"/>
                <w:sz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eastAsia" w:ascii="仿宋_GB2312"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jc w:val="center"/>
              <w:rPr>
                <w:rFonts w:hint="eastAsia" w:ascii="仿宋_GB2312" w:eastAsia="仿宋_GB2312"/>
                <w:sz w:val="32"/>
              </w:rPr>
            </w:pPr>
            <w:bookmarkStart w:id="3" w:name="now"/>
            <w:r>
              <w:rPr>
                <w:rFonts w:hint="eastAsia" w:ascii="仿宋_GB2312" w:eastAsia="仿宋_GB2312"/>
                <w:sz w:val="32"/>
                <w:lang w:val="en-US" w:eastAsia="zh-CN"/>
              </w:rPr>
              <w:t xml:space="preserve">                          </w:t>
            </w:r>
            <w:r>
              <w:rPr>
                <w:rFonts w:hint="default" w:ascii="Nimbus Roman No9 L" w:hAnsi="Nimbus Roman No9 L" w:eastAsia="仿宋_GB2312" w:cs="Nimbus Roman No9 L"/>
                <w:sz w:val="32"/>
                <w:lang w:val="en-US" w:eastAsia="zh-CN"/>
              </w:rPr>
              <w:t>202</w:t>
            </w:r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>年</w:t>
            </w:r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>月</w:t>
            </w:r>
            <w:r>
              <w:rPr>
                <w:rFonts w:hint="eastAsia" w:ascii="Nimbus Roman No9 L" w:hAnsi="Nimbus Roman No9 L" w:eastAsia="仿宋_GB2312" w:cs="Nimbus Roman No9 L"/>
                <w:sz w:val="32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>日</w:t>
            </w:r>
            <w:bookmarkEnd w:id="3"/>
            <w:r>
              <w:rPr>
                <w:rFonts w:hint="eastAsia" w:ascii="仿宋_GB2312" w:eastAsia="仿宋_GB2312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tabs>
          <w:tab w:val="left" w:pos="1077"/>
        </w:tabs>
        <w:bidi w:val="0"/>
        <w:jc w:val="left"/>
        <w:rPr>
          <w:rFonts w:hint="eastAsia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2</w:t>
    </w:r>
    <w:r>
      <w:rPr>
        <w:rStyle w:val="11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3DEF72E9"/>
    <w:rsid w:val="3FAE3728"/>
    <w:rsid w:val="447E3320"/>
    <w:rsid w:val="45CB5298"/>
    <w:rsid w:val="4B30475B"/>
    <w:rsid w:val="4CA33CB0"/>
    <w:rsid w:val="4D14258D"/>
    <w:rsid w:val="4F843BDE"/>
    <w:rsid w:val="57073EC0"/>
    <w:rsid w:val="59C6063C"/>
    <w:rsid w:val="5FFF7F9F"/>
    <w:rsid w:val="63E612D4"/>
    <w:rsid w:val="67D6B658"/>
    <w:rsid w:val="693053CC"/>
    <w:rsid w:val="6AB50BAB"/>
    <w:rsid w:val="6CA056C1"/>
    <w:rsid w:val="6D957ABF"/>
    <w:rsid w:val="6FFA79CA"/>
    <w:rsid w:val="6FFF2995"/>
    <w:rsid w:val="7312333B"/>
    <w:rsid w:val="75561D3A"/>
    <w:rsid w:val="76F7302E"/>
    <w:rsid w:val="77E771DA"/>
    <w:rsid w:val="77EF43D3"/>
    <w:rsid w:val="7952225A"/>
    <w:rsid w:val="7CBD42B8"/>
    <w:rsid w:val="7D174045"/>
    <w:rsid w:val="7D906DB7"/>
    <w:rsid w:val="7E674295"/>
    <w:rsid w:val="7EEFB78D"/>
    <w:rsid w:val="7EF7F804"/>
    <w:rsid w:val="BFFE2E14"/>
    <w:rsid w:val="CBD94361"/>
    <w:rsid w:val="DFDEA4A4"/>
    <w:rsid w:val="DFEF439F"/>
    <w:rsid w:val="F75A20B5"/>
    <w:rsid w:val="F7FB7399"/>
    <w:rsid w:val="FBDA0EFB"/>
    <w:rsid w:val="FBEA3771"/>
    <w:rsid w:val="FD6F5A07"/>
    <w:rsid w:val="FDF79F75"/>
    <w:rsid w:val="FFBF95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4">
    <w:name w:val="Body Text Indent"/>
    <w:basedOn w:val="1"/>
    <w:qFormat/>
    <w:uiPriority w:val="0"/>
    <w:pPr>
      <w:ind w:firstLine="720" w:firstLineChars="225"/>
    </w:pPr>
    <w:rPr>
      <w:sz w:val="32"/>
      <w:szCs w:val="20"/>
    </w:rPr>
  </w:style>
  <w:style w:type="paragraph" w:styleId="5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 Char Char"/>
    <w:basedOn w:val="10"/>
    <w:link w:val="6"/>
    <w:semiHidden/>
    <w:qFormat/>
    <w:uiPriority w:val="99"/>
    <w:rPr>
      <w:kern w:val="2"/>
      <w:sz w:val="18"/>
      <w:szCs w:val="18"/>
    </w:rPr>
  </w:style>
  <w:style w:type="character" w:customStyle="1" w:styleId="13">
    <w:name w:val=" Char Char1"/>
    <w:basedOn w:val="10"/>
    <w:link w:val="7"/>
    <w:semiHidden/>
    <w:qFormat/>
    <w:uiPriority w:val="99"/>
    <w:rPr>
      <w:kern w:val="2"/>
      <w:sz w:val="18"/>
      <w:szCs w:val="18"/>
    </w:rPr>
  </w:style>
  <w:style w:type="paragraph" w:customStyle="1" w:styleId="14">
    <w:name w:val="报告正文"/>
    <w:basedOn w:val="1"/>
    <w:qFormat/>
    <w:uiPriority w:val="0"/>
    <w:pPr>
      <w:spacing w:line="560" w:lineRule="exact"/>
      <w:ind w:firstLine="200" w:firstLineChars="200"/>
    </w:pPr>
    <w:rPr>
      <w:rFonts w:ascii="Times New Roman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194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2021-04-11T19:49:00Z</dcterms:created>
  <dc:creator>wjc</dc:creator>
  <cp:lastModifiedBy>李长卿</cp:lastModifiedBy>
  <cp:lastPrinted>2025-08-27T03:10:00Z</cp:lastPrinted>
  <dcterms:modified xsi:type="dcterms:W3CDTF">2025-12-17T16:06:01Z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