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仿宋_GB2312" w:hAnsi="宋体" w:eastAsia="仿宋_GB2312"/>
          <w:sz w:val="30"/>
        </w:rPr>
      </w:pPr>
    </w:p>
    <w:p>
      <w:pPr>
        <w:rPr>
          <w:rFonts w:hint="eastAsia" w:ascii="仿宋_GB2312" w:hAnsi="宋体" w:eastAsia="仿宋_GB2312"/>
          <w:sz w:val="13"/>
          <w:szCs w:val="13"/>
        </w:rPr>
      </w:pPr>
    </w:p>
    <w:tbl>
      <w:tblPr>
        <w:tblStyle w:val="8"/>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4"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对市十八届人大三次会议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bCs/>
                <w:sz w:val="44"/>
                <w:lang w:val="en-US" w:eastAsia="zh-CN"/>
              </w:rPr>
              <w:t>0015</w:t>
            </w:r>
            <w:r>
              <w:rPr>
                <w:rFonts w:hint="eastAsia" w:ascii="宋体" w:hAnsi="宋体"/>
                <w:b/>
                <w:bCs/>
                <w:sz w:val="44"/>
                <w:lang w:val="en-US" w:eastAsia="zh-CN"/>
              </w:rPr>
              <w:t>号建议的落实答复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tcBorders>
              <w:tl2br w:val="nil"/>
              <w:tr2bl w:val="nil"/>
            </w:tcBorders>
            <w:noWrap w:val="0"/>
            <w:vAlign w:val="top"/>
          </w:tcPr>
          <w:p>
            <w:pPr>
              <w:pageBreakBefore w:val="0"/>
              <w:widowControl w:val="0"/>
              <w:kinsoku/>
              <w:wordWrap/>
              <w:overflowPunct/>
              <w:topLinePunct w:val="0"/>
              <w:autoSpaceDE/>
              <w:autoSpaceDN/>
              <w:bidi w:val="0"/>
              <w:spacing w:line="530" w:lineRule="exact"/>
              <w:ind w:right="105" w:rightChars="50"/>
              <w:textAlignment w:val="auto"/>
              <w:rPr>
                <w:rFonts w:eastAsia="仿宋_GB2312"/>
                <w:sz w:val="32"/>
              </w:rPr>
            </w:pPr>
            <w:bookmarkStart w:id="1" w:name="chenghu"/>
            <w:r>
              <w:rPr>
                <w:rFonts w:hint="eastAsia" w:eastAsia="仿宋_GB2312"/>
                <w:sz w:val="32"/>
                <w:lang w:val="en-US" w:eastAsia="zh-CN"/>
              </w:rPr>
              <w:t>刘智代表</w:t>
            </w:r>
            <w:bookmarkEnd w:id="1"/>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pageBreakBefore w:val="0"/>
              <w:widowControl w:val="0"/>
              <w:kinsoku/>
              <w:wordWrap/>
              <w:overflowPunct/>
              <w:topLinePunct w:val="0"/>
              <w:autoSpaceDE/>
              <w:autoSpaceDN/>
              <w:bidi w:val="0"/>
              <w:spacing w:line="530" w:lineRule="exact"/>
              <w:textAlignment w:val="auto"/>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您提出的“关于共同攻克技术难题打通企业创新合作堵点”的建议，经会同市工业和信息化局研究答复如下</w:t>
            </w:r>
            <w:bookmarkEnd w:id="2"/>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天津市打通企业创新合作堵点，加强企业与高校、科研机构的产学研合作，推动各创新主体共同攻克技术难题，深入推动科技创新和产业创新深度融合。</w:t>
            </w:r>
          </w:p>
          <w:p>
            <w:pPr>
              <w:keepNext w:val="0"/>
              <w:keepLines w:val="0"/>
              <w:pageBreakBefore w:val="0"/>
              <w:widowControl w:val="0"/>
              <w:numPr>
                <w:ilvl w:val="0"/>
                <w:numId w:val="0"/>
              </w:numPr>
              <w:kinsoku/>
              <w:wordWrap/>
              <w:overflowPunct/>
              <w:topLinePunct w:val="0"/>
              <w:autoSpaceDE/>
              <w:autoSpaceDN/>
              <w:bidi w:val="0"/>
              <w:adjustRightInd/>
              <w:snapToGrid w:val="0"/>
              <w:spacing w:line="530" w:lineRule="exact"/>
              <w:ind w:firstLine="640" w:firstLineChars="200"/>
              <w:jc w:val="both"/>
              <w:textAlignment w:val="auto"/>
              <w:rPr>
                <w:rFonts w:hint="eastAsia" w:ascii="Nimbus Roman No9 L" w:hAnsi="Nimbus Roman No9 L" w:eastAsia="黑体" w:cs="Nimbus Roman No9 L"/>
                <w:sz w:val="32"/>
                <w:szCs w:val="32"/>
                <w:lang w:val="en-US" w:eastAsia="zh-CN"/>
              </w:rPr>
            </w:pPr>
            <w:r>
              <w:rPr>
                <w:rFonts w:hint="eastAsia" w:ascii="Nimbus Roman No9 L" w:hAnsi="Nimbus Roman No9 L" w:eastAsia="黑体" w:cs="Nimbus Roman No9 L"/>
                <w:sz w:val="32"/>
                <w:szCs w:val="32"/>
                <w:lang w:val="en-US" w:eastAsia="zh-CN"/>
              </w:rPr>
              <w:t>一、主要做法及成效</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（一）以培育创新主体为重点，搭建创新平台</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一是强化企业创新主体地位。加大企业技术中心培育力度，积极推动重点企业建立企业技术中心等研发机构，组织开展第32批市级企业技术中心申报工作，已累计认定684家天津市企业技术中心。二是推动产业创新平台加快建设。发挥国家现代中药创新中心支撑作用，在中药安慰剂研究方向实现共性关键技术突破，为中药临床研究建立新模式。推动制造业中试平台建设。北化院天津基地化工材料、细胞生态海河实验室细胞与基因治疗、中纺院纤维新材料制备技术验证与转化、中科院天津工业生物技术研究所智能生物制造等4个中试平台入围工信部重点培育名单。组织产业技术基础公共服务平台认定，围绕试验检测、信息服务、创新成果产业化三种类型，开展第四批市级产业技术基础公共服务平台申报工作。</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（二）以创新联合体建设为抓手，推动产学研联合攻关</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我市共有创新联合体49家。联合体建设覆盖我市信创、高端装备、汽车及新能源汽车、生物医药、新能源等重点产业链，总计吸纳成员单位超400家，有力促进了我市企业、高校、科研院所间的产学研合作。支持创新联合体开展“卡脖子”技术攻关和前沿引领性技术攻关项目，突破一批重大关键核心技术。</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（三）推动院企合作，加快畅通企业创新合作渠道</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一是深化与央院央所、在京高校等合作，推动与中国科学院签订新一轮院市合作协议，举办中国科学院科技成果转化“融合点”行动天津活动，推动与中国科学院院所合作数量增至60个，用好中国工程院首批院士成果汇编，组织“院士津门行”活动，争取一批院士成果落地天津。二是全力推动中国医科院天津医学健康研究院等建设，争取更多协和系资源在津布局；协同推动京津冀国家技术创新中心提质增效，突破颠覆性技术，加强前沿领域联合攻关，推动重大创新成果转化落地。</w:t>
            </w:r>
          </w:p>
          <w:p>
            <w:pPr>
              <w:pStyle w:val="3"/>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二、下一步思路及举措</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下一步，市科技局会同市工业和信息化局将积极借鉴、采纳您提出的“关于共同攻克技术难题打通企业创新合作堵点”的有关建议，在强化科技项目支持、构建科技型企业梯度培育体系和搭建助企服务平台等多方面继续发力，提升企业创新合作水平。</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（一）支持企业承担科技项目开展合作创新</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依托创新联合体，围绕高端芯片、先进计算处理器与算力网络、集成电路装备、航空航天、工业母机、中医药现代化等重点领域，启动实施科技重大项目，加强“卡脖子”技术和前瞻性引领性技术攻关。</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（二）构建科技型企业梯度培育体系</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开展国家科技型中小企业评价，国家高新技术企业认定，培育科技领军企业。加快发掘培育一批科创属性强、发展模式新、成长速度快、市场前景好的科技型独角兽企业和市级猎豹企业。持续推动研发费用加计扣除、高新技术企业所得税减免等普惠性政策落地。</w:t>
            </w:r>
          </w:p>
          <w:p>
            <w:pPr>
              <w:pStyle w:val="4"/>
              <w:pageBreakBefore w:val="0"/>
              <w:widowControl w:val="0"/>
              <w:kinsoku/>
              <w:wordWrap/>
              <w:overflowPunct/>
              <w:topLinePunct w:val="0"/>
              <w:autoSpaceDE/>
              <w:autoSpaceDN/>
              <w:bidi w:val="0"/>
              <w:spacing w:line="530" w:lineRule="exact"/>
              <w:textAlignment w:val="auto"/>
              <w:rPr>
                <w:rFonts w:hint="eastAsia"/>
                <w:lang w:val="en-US" w:eastAsia="zh-CN"/>
              </w:rPr>
            </w:pPr>
            <w:r>
              <w:rPr>
                <w:rFonts w:hint="eastAsia"/>
                <w:lang w:val="en-US" w:eastAsia="zh-CN"/>
              </w:rPr>
              <w:t>（三）搭建助企服务平台</w:t>
            </w: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推动相关机构举办创新创业大赛、项目路演、成果交易对接会、银企对接会、论坛沙龙、政策宣讲、专项培训等系列活动，进一步促进技术、资金、政策等与企业深度对接，帮助企业提升创新、融资、市场拓展等能力。</w:t>
            </w:r>
          </w:p>
          <w:p>
            <w:pPr>
              <w:pStyle w:val="2"/>
              <w:pageBreakBefore w:val="0"/>
              <w:widowControl w:val="0"/>
              <w:kinsoku/>
              <w:wordWrap/>
              <w:overflowPunct/>
              <w:topLinePunct w:val="0"/>
              <w:autoSpaceDE/>
              <w:autoSpaceDN/>
              <w:bidi w:val="0"/>
              <w:spacing w:line="530" w:lineRule="exact"/>
              <w:textAlignment w:val="auto"/>
              <w:rPr>
                <w:rFonts w:hint="eastAsia"/>
                <w:lang w:val="en-US" w:eastAsia="zh-CN"/>
              </w:rPr>
            </w:pPr>
          </w:p>
          <w:p>
            <w:pPr>
              <w:pageBreakBefore w:val="0"/>
              <w:widowControl w:val="0"/>
              <w:kinsoku/>
              <w:wordWrap/>
              <w:overflowPunct/>
              <w:topLinePunct w:val="0"/>
              <w:autoSpaceDE/>
              <w:autoSpaceDN/>
              <w:bidi w:val="0"/>
              <w:spacing w:line="530" w:lineRule="exact"/>
              <w:ind w:left="0" w:leftChars="0" w:right="105" w:rightChars="50" w:firstLine="640" w:firstLineChars="200"/>
              <w:textAlignment w:val="auto"/>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center"/>
              <w:rPr>
                <w:rFonts w:hint="eastAsia" w:ascii="仿宋_GB2312" w:eastAsia="仿宋_GB2312"/>
                <w:sz w:val="32"/>
              </w:rPr>
            </w:pPr>
            <w:bookmarkStart w:id="3" w:name="now"/>
            <w:r>
              <w:rPr>
                <w:rFonts w:hint="eastAsia" w:ascii="仿宋_GB2312" w:eastAsia="仿宋_GB2312"/>
                <w:sz w:val="32"/>
                <w:lang w:val="en-US" w:eastAsia="zh-CN"/>
              </w:rPr>
              <w:t xml:space="preserve">                          </w:t>
            </w:r>
            <w:r>
              <w:rPr>
                <w:rFonts w:hint="default" w:ascii="Nimbus Roman No9 L" w:hAnsi="Nimbus Roman No9 L" w:eastAsia="仿宋_GB2312" w:cs="Nimbus Roman No9 L"/>
                <w:sz w:val="32"/>
                <w:lang w:val="en-US" w:eastAsia="zh-CN"/>
              </w:rPr>
              <w:t>202</w:t>
            </w:r>
            <w:r>
              <w:rPr>
                <w:rFonts w:hint="eastAsia" w:ascii="Nimbus Roman No9 L" w:hAnsi="Nimbus Roman No9 L" w:eastAsia="仿宋_GB2312" w:cs="Nimbus Roman No9 L"/>
                <w:sz w:val="32"/>
                <w:lang w:val="en-US" w:eastAsia="zh-CN"/>
              </w:rPr>
              <w:t>5</w:t>
            </w:r>
            <w:r>
              <w:rPr>
                <w:rFonts w:hint="eastAsia" w:ascii="仿宋_GB2312" w:eastAsia="仿宋_GB2312"/>
                <w:sz w:val="32"/>
                <w:lang w:val="en-US" w:eastAsia="zh-CN"/>
              </w:rPr>
              <w:t>年</w:t>
            </w:r>
            <w:r>
              <w:rPr>
                <w:rFonts w:hint="eastAsia" w:ascii="Nimbus Roman No9 L" w:hAnsi="Nimbus Roman No9 L" w:eastAsia="仿宋_GB2312" w:cs="Nimbus Roman No9 L"/>
                <w:sz w:val="32"/>
                <w:lang w:val="en-US" w:eastAsia="zh-CN"/>
              </w:rPr>
              <w:t>9</w:t>
            </w:r>
            <w:r>
              <w:rPr>
                <w:rFonts w:hint="eastAsia" w:ascii="仿宋_GB2312" w:eastAsia="仿宋_GB2312"/>
                <w:sz w:val="32"/>
                <w:lang w:val="en-US" w:eastAsia="zh-CN"/>
              </w:rPr>
              <w:t>月</w:t>
            </w:r>
            <w:r>
              <w:rPr>
                <w:rFonts w:hint="eastAsia" w:ascii="Nimbus Roman No9 L" w:hAnsi="Nimbus Roman No9 L" w:eastAsia="仿宋_GB2312" w:cs="Nimbus Roman No9 L"/>
                <w:sz w:val="32"/>
                <w:lang w:val="en-US" w:eastAsia="zh-CN"/>
              </w:rPr>
              <w:t>8</w:t>
            </w:r>
            <w:r>
              <w:rPr>
                <w:rFonts w:hint="eastAsia" w:ascii="仿宋_GB2312" w:eastAsia="仿宋_GB2312"/>
                <w:sz w:val="32"/>
                <w:lang w:val="en-US" w:eastAsia="zh-CN"/>
              </w:rPr>
              <w:t>日</w:t>
            </w:r>
            <w:bookmarkEnd w:id="3"/>
            <w:r>
              <w:rPr>
                <w:rFonts w:hint="eastAsia" w:ascii="仿宋_GB2312" w:eastAsia="仿宋_GB2312"/>
                <w:sz w:val="32"/>
              </w:rPr>
              <w:t xml:space="preserve">   </w:t>
            </w:r>
          </w:p>
        </w:tc>
      </w:tr>
    </w:tbl>
    <w:p>
      <w:pPr>
        <w:spacing w:line="20" w:lineRule="exact"/>
        <w:ind w:right="1151" w:rightChars="548"/>
        <w:rPr>
          <w:rFonts w:hint="eastAsia"/>
        </w:rPr>
      </w:pPr>
    </w:p>
    <w:p>
      <w:pPr>
        <w:tabs>
          <w:tab w:val="left" w:pos="1077"/>
        </w:tabs>
        <w:bidi w:val="0"/>
        <w:jc w:val="left"/>
        <w:rPr>
          <w:rFonts w:hint="eastAsia"/>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39573"/>
    <w:rsid w:val="05FB352C"/>
    <w:rsid w:val="062C73BA"/>
    <w:rsid w:val="0F415A30"/>
    <w:rsid w:val="1A1A2EA1"/>
    <w:rsid w:val="1BE3569F"/>
    <w:rsid w:val="1D6D36F1"/>
    <w:rsid w:val="20FE4F37"/>
    <w:rsid w:val="22666FCA"/>
    <w:rsid w:val="23957D52"/>
    <w:rsid w:val="265833FB"/>
    <w:rsid w:val="2A106D0B"/>
    <w:rsid w:val="2DCA2874"/>
    <w:rsid w:val="377A2E5E"/>
    <w:rsid w:val="385C0DBD"/>
    <w:rsid w:val="3A57702C"/>
    <w:rsid w:val="3AFFF8E6"/>
    <w:rsid w:val="3DBF0F7B"/>
    <w:rsid w:val="3FFD9E55"/>
    <w:rsid w:val="447E3320"/>
    <w:rsid w:val="45CB5298"/>
    <w:rsid w:val="4B30475B"/>
    <w:rsid w:val="4B7C51C4"/>
    <w:rsid w:val="4CA33CB0"/>
    <w:rsid w:val="4D14258D"/>
    <w:rsid w:val="4F5FD06E"/>
    <w:rsid w:val="4F843BDE"/>
    <w:rsid w:val="4FEF2EFA"/>
    <w:rsid w:val="56BFE693"/>
    <w:rsid w:val="57073EC0"/>
    <w:rsid w:val="59C6063C"/>
    <w:rsid w:val="5A7A33DE"/>
    <w:rsid w:val="5BD3B542"/>
    <w:rsid w:val="5BFEF3C3"/>
    <w:rsid w:val="63E612D4"/>
    <w:rsid w:val="66BE372F"/>
    <w:rsid w:val="66FF4578"/>
    <w:rsid w:val="693053CC"/>
    <w:rsid w:val="6AB50BAB"/>
    <w:rsid w:val="6CA056C1"/>
    <w:rsid w:val="6D957ABF"/>
    <w:rsid w:val="6F3FDB32"/>
    <w:rsid w:val="6F77D405"/>
    <w:rsid w:val="6FE768A0"/>
    <w:rsid w:val="6FFA79CA"/>
    <w:rsid w:val="7312333B"/>
    <w:rsid w:val="75561D3A"/>
    <w:rsid w:val="76F7302E"/>
    <w:rsid w:val="76FFAD2A"/>
    <w:rsid w:val="77E771DA"/>
    <w:rsid w:val="7952225A"/>
    <w:rsid w:val="7AFFAF83"/>
    <w:rsid w:val="7B7FEC2F"/>
    <w:rsid w:val="7BFF7EF5"/>
    <w:rsid w:val="7C4A5068"/>
    <w:rsid w:val="7CC78ACE"/>
    <w:rsid w:val="7D174045"/>
    <w:rsid w:val="7D906DB7"/>
    <w:rsid w:val="7E674295"/>
    <w:rsid w:val="7EBDC734"/>
    <w:rsid w:val="7EFE9BC9"/>
    <w:rsid w:val="7FDB39A4"/>
    <w:rsid w:val="7FE16E90"/>
    <w:rsid w:val="97FB8987"/>
    <w:rsid w:val="BFFE2E14"/>
    <w:rsid w:val="C9EF99D9"/>
    <w:rsid w:val="CF7BA843"/>
    <w:rsid w:val="D57457C9"/>
    <w:rsid w:val="D7F7AE9F"/>
    <w:rsid w:val="D9F78384"/>
    <w:rsid w:val="DB7F4A24"/>
    <w:rsid w:val="DECA01EE"/>
    <w:rsid w:val="DF6BAA49"/>
    <w:rsid w:val="E5FA141E"/>
    <w:rsid w:val="F38EB0D9"/>
    <w:rsid w:val="F657DE9A"/>
    <w:rsid w:val="F676BFF9"/>
    <w:rsid w:val="F7FB3E61"/>
    <w:rsid w:val="F7FB7399"/>
    <w:rsid w:val="FBEA3771"/>
    <w:rsid w:val="FD6F5A07"/>
    <w:rsid w:val="FDBAC538"/>
    <w:rsid w:val="FDF79F75"/>
    <w:rsid w:val="FFBF95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adjustRightInd w:val="0"/>
      <w:snapToGrid w:val="0"/>
      <w:spacing w:beforeLines="0" w:beforeAutospacing="0" w:afterLines="0" w:afterAutospacing="0" w:line="560" w:lineRule="exact"/>
      <w:ind w:firstLine="640" w:firstLineChars="200"/>
      <w:outlineLvl w:val="0"/>
    </w:pPr>
    <w:rPr>
      <w:rFonts w:ascii="Arial" w:hAnsi="Arial" w:eastAsia="黑体"/>
      <w:kern w:val="44"/>
      <w:sz w:val="32"/>
    </w:rPr>
  </w:style>
  <w:style w:type="paragraph" w:styleId="4">
    <w:name w:val="heading 2"/>
    <w:basedOn w:val="1"/>
    <w:next w:val="1"/>
    <w:unhideWhenUsed/>
    <w:qFormat/>
    <w:uiPriority w:val="9"/>
    <w:pPr>
      <w:keepNext/>
      <w:keepLines/>
      <w:adjustRightInd w:val="0"/>
      <w:snapToGrid w:val="0"/>
      <w:spacing w:line="560" w:lineRule="exact"/>
      <w:ind w:firstLine="880" w:firstLineChars="200"/>
      <w:outlineLvl w:val="1"/>
    </w:pPr>
    <w:rPr>
      <w:rFonts w:ascii="Cambria" w:hAnsi="Cambria" w:eastAsia="楷体" w:cs="Times New Roman"/>
      <w:bCs/>
      <w:sz w:val="32"/>
      <w:szCs w:val="32"/>
    </w:rPr>
  </w:style>
  <w:style w:type="character" w:default="1" w:styleId="10">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footer"/>
    <w:basedOn w:val="1"/>
    <w:next w:val="1"/>
    <w:link w:val="12"/>
    <w:unhideWhenUsed/>
    <w:qFormat/>
    <w:uiPriority w:val="99"/>
    <w:pPr>
      <w:tabs>
        <w:tab w:val="center" w:pos="4153"/>
        <w:tab w:val="right" w:pos="8306"/>
      </w:tabs>
      <w:snapToGrid w:val="0"/>
      <w:jc w:val="left"/>
    </w:pPr>
    <w:rPr>
      <w:sz w:val="18"/>
      <w:szCs w:val="18"/>
    </w:rPr>
  </w:style>
  <w:style w:type="paragraph" w:styleId="5">
    <w:name w:val="Body Text"/>
    <w:basedOn w:val="1"/>
    <w:semiHidden/>
    <w:qFormat/>
    <w:uiPriority w:val="0"/>
    <w:pPr>
      <w:jc w:val="center"/>
    </w:pPr>
    <w:rPr>
      <w:rFonts w:ascii="宋体"/>
      <w:b/>
      <w:bCs/>
      <w:sz w:val="44"/>
    </w:rPr>
  </w:style>
  <w:style w:type="paragraph" w:styleId="6">
    <w:name w:val="Date"/>
    <w:basedOn w:val="1"/>
    <w:next w:val="1"/>
    <w:semiHidden/>
    <w:qFormat/>
    <w:uiPriority w:val="0"/>
    <w:pPr>
      <w:ind w:left="100" w:leftChars="2500"/>
    </w:pPr>
    <w:rPr>
      <w:rFonts w:ascii="仿宋_GB2312" w:eastAsia="仿宋_GB2312"/>
      <w:sz w:val="32"/>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qFormat/>
    <w:uiPriority w:val="0"/>
  </w:style>
  <w:style w:type="character" w:customStyle="1" w:styleId="12">
    <w:name w:val=" Char Char"/>
    <w:basedOn w:val="10"/>
    <w:link w:val="2"/>
    <w:semiHidden/>
    <w:qFormat/>
    <w:uiPriority w:val="99"/>
    <w:rPr>
      <w:kern w:val="2"/>
      <w:sz w:val="18"/>
      <w:szCs w:val="18"/>
    </w:rPr>
  </w:style>
  <w:style w:type="character" w:customStyle="1" w:styleId="13">
    <w:name w:val=" Char Char1"/>
    <w:basedOn w:val="10"/>
    <w:link w:val="7"/>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27</TotalTime>
  <ScaleCrop>false</ScaleCrop>
  <LinksUpToDate>false</LinksUpToDate>
  <CharactersWithSpaces>2285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2021-04-11T03:49:00Z</dcterms:created>
  <dc:creator>wjc</dc:creator>
  <cp:lastModifiedBy>董金勇</cp:lastModifiedBy>
  <cp:lastPrinted>2025-09-12T17:11:00Z</cp:lastPrinted>
  <dcterms:modified xsi:type="dcterms:W3CDTF">2025-12-16T11:44:02Z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