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rPr>
          <w:rFonts w:ascii="Nimbus Roman No9 L" w:hAnsi="Nimbus Roman No9 L" w:eastAsia="方正小标宋简体"/>
          <w:color w:val="auto"/>
          <w:sz w:val="44"/>
          <w:szCs w:val="44"/>
          <w:highlight w:val="none"/>
        </w:rPr>
      </w:pPr>
      <w:r>
        <w:rPr>
          <w:rFonts w:hint="eastAsia" w:ascii="Nimbus Roman No9 L" w:hAnsi="Nimbus Roman No9 L" w:eastAsia="方正小标宋简体"/>
          <w:color w:val="auto"/>
          <w:sz w:val="44"/>
          <w:szCs w:val="44"/>
          <w:highlight w:val="none"/>
        </w:rPr>
        <w:t>2</w:t>
      </w:r>
      <w:r>
        <w:rPr>
          <w:rFonts w:ascii="Nimbus Roman No9 L" w:hAnsi="Nimbus Roman No9 L" w:eastAsia="方正小标宋简体"/>
          <w:color w:val="auto"/>
          <w:sz w:val="44"/>
          <w:szCs w:val="44"/>
          <w:highlight w:val="none"/>
        </w:rPr>
        <w:t>0</w:t>
      </w:r>
      <w:r>
        <w:rPr>
          <w:rFonts w:hint="eastAsia" w:ascii="Nimbus Roman No9 L" w:hAnsi="Nimbus Roman No9 L" w:eastAsia="方正小标宋简体"/>
          <w:color w:val="auto"/>
          <w:sz w:val="44"/>
          <w:szCs w:val="44"/>
          <w:highlight w:val="none"/>
          <w:lang w:val="en-US" w:eastAsia="zh-CN"/>
        </w:rPr>
        <w:t>21</w:t>
      </w:r>
      <w:r>
        <w:rPr>
          <w:rFonts w:ascii="Nimbus Roman No9 L" w:hAnsi="Nimbus Roman No9 L" w:eastAsia="方正小标宋简体"/>
          <w:color w:val="auto"/>
          <w:sz w:val="44"/>
          <w:szCs w:val="44"/>
          <w:highlight w:val="none"/>
        </w:rPr>
        <w:t>年天津市</w:t>
      </w:r>
      <w:r>
        <w:rPr>
          <w:rFonts w:hint="eastAsia" w:ascii="Nimbus Roman No9 L" w:hAnsi="Nimbus Roman No9 L" w:eastAsia="方正小标宋简体"/>
          <w:color w:val="auto"/>
          <w:sz w:val="44"/>
          <w:szCs w:val="44"/>
          <w:highlight w:val="none"/>
          <w:lang w:eastAsia="zh-CN"/>
        </w:rPr>
        <w:t>公共卫生</w:t>
      </w:r>
      <w:r>
        <w:rPr>
          <w:rFonts w:ascii="Nimbus Roman No9 L" w:hAnsi="Nimbus Roman No9 L" w:eastAsia="方正小标宋简体"/>
          <w:color w:val="auto"/>
          <w:sz w:val="44"/>
          <w:szCs w:val="44"/>
          <w:highlight w:val="none"/>
        </w:rPr>
        <w:t>科技重大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rPr>
          <w:rFonts w:ascii="Nimbus Roman No9 L" w:hAnsi="Nimbus Roman No9 L" w:eastAsia="方正小标宋简体"/>
          <w:color w:val="auto"/>
          <w:sz w:val="44"/>
          <w:szCs w:val="44"/>
          <w:highlight w:val="none"/>
        </w:rPr>
      </w:pPr>
      <w:r>
        <w:rPr>
          <w:rFonts w:ascii="Nimbus Roman No9 L" w:hAnsi="Nimbus Roman No9 L" w:eastAsia="方正小标宋简体"/>
          <w:color w:val="auto"/>
          <w:sz w:val="44"/>
          <w:szCs w:val="44"/>
          <w:highlight w:val="none"/>
        </w:rPr>
        <w:t>专项申报指南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Nimbus Roman No9 L" w:hAnsi="Nimbus Roman No9 L" w:eastAsia="黑体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Nimbus Roman No9 L" w:hAnsi="Nimbus Roman No9 L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本专项对接国家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“健康中国”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创新2030重大专项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和“十四五”国家重点研发计划“病原学与防疫技术体系研究”、“常见多发病防治研究”“主动健康和老龄化科技应对”等专项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，拟针对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重大传染病预防控制技术、常见多发病防治技术等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进行研究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。鼓励多中心临床研究和大型临床队列研究。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主要支持以下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个方向：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楷体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一、新冠肺炎等重大传染病常态化预防控制技术研究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研究内容：重点支持针对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val="en-US" w:eastAsia="zh-CN"/>
        </w:rPr>
        <w:t>重大传染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  <w:highlight w:val="none"/>
          <w:lang w:val="en-US" w:eastAsia="zh-CN"/>
        </w:rPr>
        <w:t>病病原体的发现、溯源及预警预测，重大传染病临床防治，重大新发突发传染病防控一体化体系建立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val="en-US" w:eastAsia="zh-CN"/>
        </w:rPr>
        <w:t>，新冠肺炎检测迭代技术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考核指标：制定针对病原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体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关键致病因子的防御新策略；完成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传染病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新型治疗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方案或对现有治疗方案进行优化；主持或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参与制订相关临床诊疗指南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；优先支持研究成果转化为相关诊疗指南、共识等标准的项目。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项目起止时间：2021年10月—20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Nimbus Roman No9 L" w:hAnsi="Nimbus Roman No9 L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资助金额：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每个项目不超过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二、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常见多发疾病防治技术研究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ascii="Nimbus Roman No9 L" w:hAnsi="Nimbus Roman No9 L" w:eastAsia="仿宋_GB2312" w:cs="Times New Roman"/>
          <w:color w:val="auto"/>
          <w:sz w:val="32"/>
          <w:szCs w:val="32"/>
          <w:highlight w:val="none"/>
        </w:rPr>
        <w:t>研究内容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：重点支持脑卒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中等脑血管病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、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恶性肿瘤、心血管疾病、糖尿病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等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常见多发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疾病的</w:t>
      </w:r>
      <w:r>
        <w:rPr>
          <w:rFonts w:ascii="Nimbus Roman No9 L" w:hAnsi="Nimbus Roman No9 L" w:eastAsia="仿宋_GB2312" w:cs="Times New Roman"/>
          <w:color w:val="auto"/>
          <w:sz w:val="32"/>
          <w:szCs w:val="32"/>
          <w:highlight w:val="none"/>
        </w:rPr>
        <w:t>早期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精准</w:t>
      </w:r>
      <w:r>
        <w:rPr>
          <w:rFonts w:ascii="Nimbus Roman No9 L" w:hAnsi="Nimbus Roman No9 L" w:eastAsia="仿宋_GB2312" w:cs="Times New Roman"/>
          <w:color w:val="auto"/>
          <w:sz w:val="32"/>
          <w:szCs w:val="32"/>
          <w:highlight w:val="none"/>
        </w:rPr>
        <w:t>诊断、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预防、</w:t>
      </w:r>
      <w:r>
        <w:rPr>
          <w:rFonts w:ascii="Nimbus Roman No9 L" w:hAnsi="Nimbus Roman No9 L" w:eastAsia="仿宋_GB2312" w:cs="Times New Roman"/>
          <w:color w:val="auto"/>
          <w:sz w:val="32"/>
          <w:szCs w:val="32"/>
          <w:highlight w:val="none"/>
        </w:rPr>
        <w:t>早期治疗技术研究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；相关疾病的</w:t>
      </w:r>
      <w:r>
        <w:rPr>
          <w:rFonts w:ascii="Nimbus Roman No9 L" w:hAnsi="Nimbus Roman No9 L" w:eastAsia="仿宋_GB2312" w:cs="Times New Roman"/>
          <w:color w:val="auto"/>
          <w:sz w:val="32"/>
          <w:szCs w:val="32"/>
          <w:highlight w:val="none"/>
        </w:rPr>
        <w:t>临床诊疗技术评价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及优化</w:t>
      </w:r>
      <w:r>
        <w:rPr>
          <w:rFonts w:ascii="Nimbus Roman No9 L" w:hAnsi="Nimbus Roman No9 L" w:eastAsia="仿宋_GB2312" w:cs="Times New Roman"/>
          <w:color w:val="auto"/>
          <w:sz w:val="32"/>
          <w:szCs w:val="32"/>
          <w:highlight w:val="none"/>
        </w:rPr>
        <w:t>研究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；相关疾病的精准医疗技术研究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bCs/>
          <w:color w:val="auto"/>
          <w:sz w:val="32"/>
          <w:szCs w:val="30"/>
          <w:highlight w:val="none"/>
          <w:lang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考核指标：制定或优化早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诊早治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方案；</w:t>
      </w:r>
      <w:r>
        <w:rPr>
          <w:rFonts w:ascii="Nimbus Roman No9 L" w:hAnsi="Nimbus Roman No9 L" w:eastAsia="仿宋_GB2312" w:cs="Times New Roman"/>
          <w:bCs/>
          <w:color w:val="auto"/>
          <w:sz w:val="32"/>
          <w:szCs w:val="30"/>
          <w:highlight w:val="none"/>
        </w:rPr>
        <w:t>对</w:t>
      </w:r>
      <w:r>
        <w:rPr>
          <w:rFonts w:hint="eastAsia" w:ascii="Nimbus Roman No9 L" w:hAnsi="Nimbus Roman No9 L" w:eastAsia="仿宋_GB2312" w:cs="Times New Roman"/>
          <w:bCs/>
          <w:color w:val="auto"/>
          <w:sz w:val="32"/>
          <w:szCs w:val="30"/>
          <w:highlight w:val="none"/>
        </w:rPr>
        <w:t>相关疾病的临床</w:t>
      </w:r>
      <w:r>
        <w:rPr>
          <w:rFonts w:ascii="Nimbus Roman No9 L" w:hAnsi="Nimbus Roman No9 L" w:eastAsia="仿宋_GB2312" w:cs="Times New Roman"/>
          <w:bCs/>
          <w:color w:val="auto"/>
          <w:sz w:val="32"/>
          <w:szCs w:val="30"/>
          <w:highlight w:val="none"/>
        </w:rPr>
        <w:t>治疗方案进行评价及优化</w:t>
      </w:r>
      <w:r>
        <w:rPr>
          <w:rFonts w:hint="eastAsia" w:ascii="Nimbus Roman No9 L" w:hAnsi="Nimbus Roman No9 L" w:eastAsia="仿宋_GB2312" w:cs="Times New Roman"/>
          <w:bCs/>
          <w:color w:val="auto"/>
          <w:sz w:val="32"/>
          <w:szCs w:val="30"/>
          <w:highlight w:val="none"/>
          <w:lang w:eastAsia="zh-CN"/>
        </w:rPr>
        <w:t>；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主持或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参与制订相关临床诊疗指南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；优先支持研究成果转化为相关诊疗指南、共识等标准的项目。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项目起止时间：2021年10月—2024年9月。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资助金额：每个项目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不超过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说明：本方向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由医疗机构牵头申报，研究方向符合指南要求；疾病病种包括但不限于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老年病、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地方病（碘缺乏病、水源性高碘甲状腺肿和饮水型氟中毒）、职业病、病毒性肝炎、孤独症和精神心理疾病等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三、老龄化应对和主动健康技术研究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研究内容：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val="en-US" w:eastAsia="zh-CN"/>
        </w:rPr>
        <w:t>科学健身与营养评估及干预指导关键技术研究；老年病预防、诊疗、康复，老年人看护智能化技术及解决方案</w:t>
      </w:r>
      <w:r>
        <w:rPr>
          <w:rFonts w:ascii="Nimbus Roman No9 L" w:hAnsi="Nimbus Roman No9 L" w:eastAsia="仿宋_GB2312" w:cs="Times New Roman"/>
          <w:color w:val="auto"/>
          <w:sz w:val="32"/>
          <w:szCs w:val="32"/>
          <w:highlight w:val="none"/>
        </w:rPr>
        <w:t>评价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优化</w:t>
      </w:r>
      <w:r>
        <w:rPr>
          <w:rFonts w:ascii="Nimbus Roman No9 L" w:hAnsi="Nimbus Roman No9 L" w:eastAsia="仿宋_GB2312" w:cs="Times New Roman"/>
          <w:color w:val="auto"/>
          <w:sz w:val="32"/>
          <w:szCs w:val="32"/>
          <w:highlight w:val="none"/>
        </w:rPr>
        <w:t>研究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val="en-US" w:eastAsia="zh-CN"/>
        </w:rPr>
        <w:t>考核指标：建立健康数据采集、管理和分析平台，制定和形成相关评价体系和干预策略；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优先支持研究成果转化为相关指南、标准的项目。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项目起止时间：2021年10月—2024年9月。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资助金额：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每个项目不超过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四、毒品检测技术和毒品戒断治疗方案研究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研究内容：支持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毒品快速检测技术的研发和毒品戒断治疗方案的研究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bCs/>
          <w:color w:val="auto"/>
          <w:sz w:val="32"/>
          <w:szCs w:val="30"/>
          <w:highlight w:val="none"/>
          <w:lang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考核指标：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研发毒品快速检测技术并形成产品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；</w:t>
      </w:r>
      <w:r>
        <w:rPr>
          <w:rFonts w:ascii="Nimbus Roman No9 L" w:hAnsi="Nimbus Roman No9 L" w:eastAsia="仿宋_GB2312" w:cs="Times New Roman"/>
          <w:bCs/>
          <w:color w:val="auto"/>
          <w:sz w:val="32"/>
          <w:szCs w:val="30"/>
          <w:highlight w:val="none"/>
        </w:rPr>
        <w:t>对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毒品戒断治疗方案</w:t>
      </w:r>
      <w:r>
        <w:rPr>
          <w:rFonts w:ascii="Nimbus Roman No9 L" w:hAnsi="Nimbus Roman No9 L" w:eastAsia="仿宋_GB2312" w:cs="Times New Roman"/>
          <w:bCs/>
          <w:color w:val="auto"/>
          <w:sz w:val="32"/>
          <w:szCs w:val="30"/>
          <w:highlight w:val="none"/>
        </w:rPr>
        <w:t>进行评价及优化</w:t>
      </w:r>
      <w:r>
        <w:rPr>
          <w:rFonts w:hint="eastAsia" w:ascii="Nimbus Roman No9 L" w:hAnsi="Nimbus Roman No9 L" w:eastAsia="仿宋_GB2312" w:cs="Times New Roman"/>
          <w:bCs/>
          <w:color w:val="auto"/>
          <w:sz w:val="32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项目起止时间：2021年10月—2024年9月。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资助金额：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每个项目不超过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</w:rPr>
        <w:t>50万元。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D2A2A"/>
    <w:rsid w:val="331C57A3"/>
    <w:rsid w:val="4CF72036"/>
    <w:rsid w:val="4F7FF0AC"/>
    <w:rsid w:val="57EF7D0F"/>
    <w:rsid w:val="67F5C820"/>
    <w:rsid w:val="71FBB693"/>
    <w:rsid w:val="727439E6"/>
    <w:rsid w:val="74D04CD1"/>
    <w:rsid w:val="7AFF6545"/>
    <w:rsid w:val="7EDFF6C6"/>
    <w:rsid w:val="CBF10141"/>
    <w:rsid w:val="DEE3B206"/>
    <w:rsid w:val="E76D3975"/>
    <w:rsid w:val="EBFEDD33"/>
    <w:rsid w:val="F1EC4C6B"/>
    <w:rsid w:val="FE7F55B1"/>
    <w:rsid w:val="FF2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2"/>
    <w:basedOn w:val="1"/>
    <w:qFormat/>
    <w:uiPriority w:val="0"/>
    <w:pPr>
      <w:tabs>
        <w:tab w:val="left" w:pos="180"/>
        <w:tab w:val="left" w:pos="1440"/>
      </w:tabs>
      <w:spacing w:line="500" w:lineRule="exact"/>
    </w:pPr>
    <w:rPr>
      <w:rFonts w:ascii="楷体_GB2312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2021-07-16T23:05:00Z</dcterms:created>
  <dc:creator>kejichu</dc:creator>
  <cp:lastModifiedBy>资管处</cp:lastModifiedBy>
  <cp:lastPrinted>2021-08-26T17:23:00Z</cp:lastPrinted>
  <dcterms:modified xsi:type="dcterms:W3CDTF">2021-08-26T15:54:03Z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