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Nimbus Roman No9 L" w:hAnsi="Nimbus Roman No9 L" w:eastAsia="方正小标宋简体" w:cs="方正小标宋简体"/>
          <w:b w:val="0"/>
          <w:bCs w:val="0"/>
          <w:color w:val="000000"/>
          <w:sz w:val="44"/>
          <w:szCs w:val="44"/>
        </w:rPr>
      </w:pPr>
      <w:bookmarkStart w:id="0" w:name="_GoBack"/>
      <w:bookmarkEnd w:id="0"/>
      <w:r>
        <w:rPr>
          <w:rFonts w:hint="eastAsia" w:ascii="Nimbus Roman No9 L" w:hAnsi="Nimbus Roman No9 L" w:eastAsia="方正小标宋简体" w:cs="方正小标宋简体"/>
          <w:b w:val="0"/>
          <w:bCs w:val="0"/>
          <w:color w:val="000000"/>
          <w:sz w:val="44"/>
          <w:szCs w:val="44"/>
        </w:rPr>
        <w:t>中央引导地方科技发展资金区域</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ascii="Nimbus Roman No9 L" w:hAnsi="Nimbus Roman No9 L" w:eastAsia="方正小标宋简体"/>
          <w:b w:val="0"/>
          <w:bCs w:val="0"/>
          <w:color w:val="000000"/>
          <w:sz w:val="44"/>
          <w:szCs w:val="44"/>
        </w:rPr>
      </w:pPr>
      <w:r>
        <w:rPr>
          <w:rFonts w:hint="eastAsia" w:ascii="Nimbus Roman No9 L" w:hAnsi="Nimbus Roman No9 L" w:eastAsia="方正小标宋简体" w:cs="方正小标宋简体"/>
          <w:b w:val="0"/>
          <w:bCs w:val="0"/>
          <w:color w:val="000000"/>
          <w:sz w:val="44"/>
          <w:szCs w:val="44"/>
        </w:rPr>
        <w:t>绩效目标自评表</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Nimbus Roman No9 L" w:hAnsi="Nimbus Roman No9 L" w:eastAsia="楷体_GB2312" w:cs="楷体_GB2312"/>
          <w:b w:val="0"/>
          <w:bCs w:val="0"/>
          <w:color w:val="000000"/>
          <w:sz w:val="32"/>
          <w:szCs w:val="32"/>
        </w:rPr>
      </w:pPr>
      <w:r>
        <w:rPr>
          <w:rFonts w:hint="eastAsia" w:ascii="Nimbus Roman No9 L" w:hAnsi="Nimbus Roman No9 L" w:eastAsia="楷体_GB2312" w:cs="楷体_GB2312"/>
          <w:b w:val="0"/>
          <w:bCs w:val="0"/>
          <w:color w:val="000000"/>
          <w:sz w:val="32"/>
          <w:szCs w:val="32"/>
        </w:rPr>
        <w:t>（2022年度）</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Nimbus Roman No9 L" w:hAnsi="Nimbus Roman No9 L" w:eastAsia="楷体_GB2312" w:cs="楷体_GB2312"/>
          <w:b w:val="0"/>
          <w:bCs w:val="0"/>
          <w:color w:val="000000"/>
          <w:sz w:val="32"/>
          <w:szCs w:val="32"/>
        </w:rPr>
      </w:pPr>
    </w:p>
    <w:tbl>
      <w:tblPr>
        <w:tblStyle w:val="6"/>
        <w:tblW w:w="9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747"/>
        <w:gridCol w:w="535"/>
        <w:gridCol w:w="939"/>
        <w:gridCol w:w="1530"/>
        <w:gridCol w:w="1680"/>
        <w:gridCol w:w="1350"/>
        <w:gridCol w:w="1545"/>
        <w:gridCol w:w="1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7" w:hRule="exact"/>
          <w:jc w:val="center"/>
        </w:trPr>
        <w:tc>
          <w:tcPr>
            <w:tcW w:w="2221" w:type="dxa"/>
            <w:gridSpan w:val="3"/>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项目名称</w:t>
            </w:r>
          </w:p>
        </w:tc>
        <w:tc>
          <w:tcPr>
            <w:tcW w:w="7685" w:type="dxa"/>
            <w:gridSpan w:val="5"/>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中央引导地方科技发展资金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7" w:hRule="exact"/>
          <w:jc w:val="center"/>
        </w:trPr>
        <w:tc>
          <w:tcPr>
            <w:tcW w:w="2221" w:type="dxa"/>
            <w:gridSpan w:val="3"/>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中央主管部门</w:t>
            </w:r>
          </w:p>
        </w:tc>
        <w:tc>
          <w:tcPr>
            <w:tcW w:w="7685" w:type="dxa"/>
            <w:gridSpan w:val="5"/>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财政部、科技部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7" w:hRule="exact"/>
          <w:jc w:val="center"/>
        </w:trPr>
        <w:tc>
          <w:tcPr>
            <w:tcW w:w="2221" w:type="dxa"/>
            <w:gridSpan w:val="3"/>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地方主管部门</w:t>
            </w:r>
          </w:p>
        </w:tc>
        <w:tc>
          <w:tcPr>
            <w:tcW w:w="7685" w:type="dxa"/>
            <w:gridSpan w:val="5"/>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天津市财政局、天津市科学技术局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77" w:hRule="exact"/>
          <w:jc w:val="center"/>
        </w:trPr>
        <w:tc>
          <w:tcPr>
            <w:tcW w:w="2221" w:type="dxa"/>
            <w:gridSpan w:val="3"/>
            <w:vMerge w:val="restart"/>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资金情况</w:t>
            </w:r>
          </w:p>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（万元）</w:t>
            </w:r>
          </w:p>
        </w:tc>
        <w:tc>
          <w:tcPr>
            <w:tcW w:w="153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16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全年预算数（A）</w:t>
            </w:r>
          </w:p>
        </w:tc>
        <w:tc>
          <w:tcPr>
            <w:tcW w:w="2895" w:type="dxa"/>
            <w:gridSpan w:val="2"/>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全年执行数（B）</w:t>
            </w:r>
          </w:p>
        </w:tc>
        <w:tc>
          <w:tcPr>
            <w:tcW w:w="15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预算执行率</w:t>
            </w:r>
          </w:p>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7" w:hRule="exact"/>
          <w:jc w:val="center"/>
        </w:trPr>
        <w:tc>
          <w:tcPr>
            <w:tcW w:w="2221" w:type="dxa"/>
            <w:gridSpan w:val="3"/>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153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年度资金总额：</w:t>
            </w:r>
          </w:p>
        </w:tc>
        <w:tc>
          <w:tcPr>
            <w:tcW w:w="16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30108.12</w:t>
            </w:r>
          </w:p>
        </w:tc>
        <w:tc>
          <w:tcPr>
            <w:tcW w:w="2895" w:type="dxa"/>
            <w:gridSpan w:val="2"/>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lang w:eastAsia="zh-CN"/>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17146.9</w:t>
            </w:r>
            <w:r>
              <w:rPr>
                <w:rFonts w:hint="eastAsia" w:ascii="Nimbus Roman No9 L" w:hAnsi="Nimbus Roman No9 L" w:cs="仿宋_GB2312"/>
                <w:color w:val="000000" w:themeColor="text1"/>
                <w:sz w:val="21"/>
                <w:szCs w:val="21"/>
                <w:lang w:val="en-US" w:eastAsia="zh-CN"/>
                <w14:textFill>
                  <w14:solidFill>
                    <w14:schemeClr w14:val="tx1"/>
                  </w14:solidFill>
                </w14:textFill>
              </w:rPr>
              <w:t>4</w:t>
            </w:r>
          </w:p>
        </w:tc>
        <w:tc>
          <w:tcPr>
            <w:tcW w:w="15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56.95%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72" w:hRule="exact"/>
          <w:jc w:val="center"/>
        </w:trPr>
        <w:tc>
          <w:tcPr>
            <w:tcW w:w="2221" w:type="dxa"/>
            <w:gridSpan w:val="3"/>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153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其中：中央财政资金</w:t>
            </w:r>
          </w:p>
        </w:tc>
        <w:tc>
          <w:tcPr>
            <w:tcW w:w="16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8800</w:t>
            </w:r>
          </w:p>
        </w:tc>
        <w:tc>
          <w:tcPr>
            <w:tcW w:w="2895" w:type="dxa"/>
            <w:gridSpan w:val="2"/>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lang w:eastAsia="zh-CN"/>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4551.5</w:t>
            </w:r>
            <w:r>
              <w:rPr>
                <w:rFonts w:hint="eastAsia" w:ascii="Nimbus Roman No9 L" w:hAnsi="Nimbus Roman No9 L" w:cs="仿宋_GB2312"/>
                <w:color w:val="000000" w:themeColor="text1"/>
                <w:sz w:val="21"/>
                <w:szCs w:val="21"/>
                <w:lang w:val="en-US" w:eastAsia="zh-CN"/>
                <w14:textFill>
                  <w14:solidFill>
                    <w14:schemeClr w14:val="tx1"/>
                  </w14:solidFill>
                </w14:textFill>
              </w:rPr>
              <w:t>9</w:t>
            </w:r>
          </w:p>
        </w:tc>
        <w:tc>
          <w:tcPr>
            <w:tcW w:w="15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51.72%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7" w:hRule="exact"/>
          <w:jc w:val="center"/>
        </w:trPr>
        <w:tc>
          <w:tcPr>
            <w:tcW w:w="2221" w:type="dxa"/>
            <w:gridSpan w:val="3"/>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153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 xml:space="preserve">   地方资金</w:t>
            </w:r>
          </w:p>
        </w:tc>
        <w:tc>
          <w:tcPr>
            <w:tcW w:w="16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w:t>
            </w:r>
          </w:p>
        </w:tc>
        <w:tc>
          <w:tcPr>
            <w:tcW w:w="2895" w:type="dxa"/>
            <w:gridSpan w:val="2"/>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w:t>
            </w:r>
          </w:p>
        </w:tc>
        <w:tc>
          <w:tcPr>
            <w:tcW w:w="15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7" w:hRule="exact"/>
          <w:jc w:val="center"/>
        </w:trPr>
        <w:tc>
          <w:tcPr>
            <w:tcW w:w="2221" w:type="dxa"/>
            <w:gridSpan w:val="3"/>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153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 xml:space="preserve">   其他资金</w:t>
            </w:r>
          </w:p>
        </w:tc>
        <w:tc>
          <w:tcPr>
            <w:tcW w:w="16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21308.12</w:t>
            </w:r>
          </w:p>
        </w:tc>
        <w:tc>
          <w:tcPr>
            <w:tcW w:w="2895" w:type="dxa"/>
            <w:gridSpan w:val="2"/>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lang w:eastAsia="zh-CN"/>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12595.3</w:t>
            </w:r>
            <w:r>
              <w:rPr>
                <w:rFonts w:hint="eastAsia" w:ascii="Nimbus Roman No9 L" w:hAnsi="Nimbus Roman No9 L" w:cs="仿宋_GB2312"/>
                <w:color w:val="000000" w:themeColor="text1"/>
                <w:sz w:val="21"/>
                <w:szCs w:val="21"/>
                <w:lang w:val="en-US" w:eastAsia="zh-CN"/>
                <w14:textFill>
                  <w14:solidFill>
                    <w14:schemeClr w14:val="tx1"/>
                  </w14:solidFill>
                </w14:textFill>
              </w:rPr>
              <w:t>5</w:t>
            </w:r>
          </w:p>
        </w:tc>
        <w:tc>
          <w:tcPr>
            <w:tcW w:w="15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59.11%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89" w:hRule="exact"/>
          <w:jc w:val="center"/>
        </w:trPr>
        <w:tc>
          <w:tcPr>
            <w:tcW w:w="747"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总体</w:t>
            </w:r>
          </w:p>
          <w:p>
            <w:pPr>
              <w:keepNext w:val="0"/>
              <w:keepLines w:val="0"/>
              <w:pageBreakBefore w:val="0"/>
              <w:widowControl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目标</w:t>
            </w:r>
          </w:p>
          <w:p>
            <w:pPr>
              <w:keepNext w:val="0"/>
              <w:keepLines w:val="0"/>
              <w:pageBreakBefore w:val="0"/>
              <w:widowControl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完成</w:t>
            </w:r>
          </w:p>
          <w:p>
            <w:pPr>
              <w:keepNext w:val="0"/>
              <w:keepLines w:val="0"/>
              <w:pageBreakBefore w:val="0"/>
              <w:widowControl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情况</w:t>
            </w:r>
          </w:p>
        </w:tc>
        <w:tc>
          <w:tcPr>
            <w:tcW w:w="4684"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总体目标</w:t>
            </w:r>
          </w:p>
        </w:tc>
        <w:tc>
          <w:tcPr>
            <w:tcW w:w="4475"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全年实际完成情况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905" w:hRule="exact"/>
          <w:jc w:val="center"/>
        </w:trPr>
        <w:tc>
          <w:tcPr>
            <w:tcW w:w="74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4684"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lang w:val="en-US" w:eastAsia="zh-CN" w:bidi="ar-SA"/>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根据中央科技发展规划部署，结合天津市科技水平及发展特点，通过实施引导资金项目，进一步提升我市科技创新基地整体研究水平，推动京津冀协同创新和成果转化，巩固衔接科技扶贫成果和乡村振兴，显著加大我市优质科技成果转移转化供给量，着力突破一批关键核心技术、共性技术和卡脖子技术，不断提升自主创新和成果转化能力，持续优化区域科技创新环境，为我市引育新动能、实现高质量发展奠定坚实基础。</w:t>
            </w:r>
          </w:p>
        </w:tc>
        <w:tc>
          <w:tcPr>
            <w:tcW w:w="4475"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一是目标导向类应用基础研究取得进一步进展。天津市国家应用数学中心的引领职能与平台作用加速发挥，围绕重点领域数学与应用结合交叉问题研究取得进展。京津冀三地围绕“数字经济”和“双碳行动”开展基础研究合作稳步推进。</w:t>
            </w:r>
          </w:p>
          <w:p>
            <w:pPr>
              <w:keepNext w:val="0"/>
              <w:keepLines w:val="0"/>
              <w:pageBreakBefore w:val="0"/>
              <w:widowControl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二是科技创新基地效能进一步提升。组分中药等三个省部共建国家重点实验室在中药研究、膜材料开发应用、食品营养等方面取得重要研究成果。天津环渤海滨海地球关键带野外科学观测研究站、天津市环渤海地球关键带科学与可持续发展重点实验室的建设稳步推进。海水资源、细胞技术、肉羊种业技术创新中心有力服务人民生命健康和企业经济效益提升。</w:t>
            </w:r>
          </w:p>
          <w:p>
            <w:pPr>
              <w:keepNext w:val="0"/>
              <w:keepLines w:val="0"/>
              <w:pageBreakBefore w:val="0"/>
              <w:widowControl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三是科技成果转化和产业化水平进一步提高。在航空航天、新一代信息技术、高端装备等重点产业领域攻克了一批关键核心技术、实现成果落地转化。完满举办第七届中国创新挑战赛（天津）。新增备案农业科技特派员148名，服务农户2.7万人，组织实施14个科技援助项目，支持财政资金600万元。</w:t>
            </w:r>
          </w:p>
          <w:p>
            <w:pPr>
              <w:keepNext w:val="0"/>
              <w:keepLines w:val="0"/>
              <w:pageBreakBefore w:val="0"/>
              <w:widowControl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lang w:val="en-US" w:eastAsia="zh-CN" w:bidi="ar-SA"/>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四是区域科技创新环境进一步优化。聚焦人工智能、信创、生物医药等战略性新兴产业，重点支持一批领军科技企业和创新服务载体，产出一批创新成果，</w:t>
            </w:r>
            <w:r>
              <w:rPr>
                <w:rFonts w:hint="eastAsia" w:ascii="Nimbus Roman No9 L" w:hAnsi="Nimbus Roman No9 L" w:cs="仿宋_GB2312"/>
                <w:color w:val="000000" w:themeColor="text1"/>
                <w:sz w:val="21"/>
                <w:szCs w:val="21"/>
                <w:lang w:eastAsia="zh-CN"/>
                <w14:textFill>
                  <w14:solidFill>
                    <w14:schemeClr w14:val="tx1"/>
                  </w14:solidFill>
                </w14:textFill>
              </w:rPr>
              <w:t>加快</w:t>
            </w:r>
            <w:r>
              <w:rPr>
                <w:rFonts w:hint="eastAsia" w:ascii="Nimbus Roman No9 L" w:hAnsi="Nimbus Roman No9 L" w:eastAsia="仿宋_GB2312" w:cs="仿宋_GB2312"/>
                <w:color w:val="000000" w:themeColor="text1"/>
                <w:sz w:val="21"/>
                <w:szCs w:val="21"/>
                <w14:textFill>
                  <w14:solidFill>
                    <w14:schemeClr w14:val="tx1"/>
                  </w14:solidFill>
                </w14:textFill>
              </w:rPr>
              <w:t>推动区域创新体系建设。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79" w:hRule="exact"/>
          <w:jc w:val="center"/>
        </w:trPr>
        <w:tc>
          <w:tcPr>
            <w:tcW w:w="747" w:type="dxa"/>
            <w:vMerge w:val="restart"/>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绩</w:t>
            </w:r>
          </w:p>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效</w:t>
            </w:r>
          </w:p>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指</w:t>
            </w:r>
          </w:p>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标</w:t>
            </w:r>
          </w:p>
        </w:tc>
        <w:tc>
          <w:tcPr>
            <w:tcW w:w="535"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一级</w:t>
            </w:r>
          </w:p>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指标</w:t>
            </w:r>
          </w:p>
        </w:tc>
        <w:tc>
          <w:tcPr>
            <w:tcW w:w="939"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二级指标</w:t>
            </w:r>
          </w:p>
        </w:tc>
        <w:tc>
          <w:tcPr>
            <w:tcW w:w="3210" w:type="dxa"/>
            <w:gridSpan w:val="2"/>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三级指标</w:t>
            </w:r>
          </w:p>
        </w:tc>
        <w:tc>
          <w:tcPr>
            <w:tcW w:w="135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指标值</w:t>
            </w:r>
          </w:p>
        </w:tc>
        <w:tc>
          <w:tcPr>
            <w:tcW w:w="1545"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全年实际完</w:t>
            </w:r>
          </w:p>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成值</w:t>
            </w:r>
          </w:p>
        </w:tc>
        <w:tc>
          <w:tcPr>
            <w:tcW w:w="15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未完成原因和改进措施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4" w:hRule="exact"/>
          <w:jc w:val="center"/>
        </w:trPr>
        <w:tc>
          <w:tcPr>
            <w:tcW w:w="747"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535" w:type="dxa"/>
            <w:vMerge w:val="restart"/>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产</w:t>
            </w:r>
          </w:p>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出</w:t>
            </w:r>
          </w:p>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指</w:t>
            </w:r>
          </w:p>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标</w:t>
            </w:r>
          </w:p>
        </w:tc>
        <w:tc>
          <w:tcPr>
            <w:tcW w:w="939" w:type="dxa"/>
            <w:vMerge w:val="restart"/>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数量指标</w:t>
            </w:r>
          </w:p>
        </w:tc>
        <w:tc>
          <w:tcPr>
            <w:tcW w:w="3210" w:type="dxa"/>
            <w:gridSpan w:val="2"/>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left"/>
              <w:textAlignment w:val="auto"/>
              <w:rPr>
                <w:rFonts w:hint="eastAsia" w:ascii="Nimbus Roman No9 L" w:hAnsi="Nimbus Roman No9 L" w:eastAsia="仿宋_GB2312" w:cs="仿宋_GB2312"/>
                <w:color w:val="000000" w:themeColor="text1"/>
                <w:sz w:val="21"/>
                <w:szCs w:val="21"/>
                <w:lang w:bidi="ar"/>
                <w14:textFill>
                  <w14:solidFill>
                    <w14:schemeClr w14:val="tx1"/>
                  </w14:solidFill>
                </w14:textFill>
              </w:rPr>
            </w:pPr>
            <w:r>
              <w:rPr>
                <w:rFonts w:hint="eastAsia" w:ascii="Nimbus Roman No9 L" w:hAnsi="Nimbus Roman No9 L" w:eastAsia="仿宋_GB2312" w:cs="仿宋_GB2312"/>
                <w:color w:val="000000" w:themeColor="text1"/>
                <w:sz w:val="21"/>
                <w:szCs w:val="21"/>
                <w:lang w:bidi="ar"/>
                <w14:textFill>
                  <w14:solidFill>
                    <w14:schemeClr w14:val="tx1"/>
                  </w14:solidFill>
                </w14:textFill>
              </w:rPr>
              <w:t>支持自由探索类基础研究项目数量</w:t>
            </w:r>
          </w:p>
        </w:tc>
        <w:tc>
          <w:tcPr>
            <w:tcW w:w="1350"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≥15个</w:t>
            </w:r>
          </w:p>
        </w:tc>
        <w:tc>
          <w:tcPr>
            <w:tcW w:w="1545"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25个</w:t>
            </w:r>
          </w:p>
        </w:tc>
        <w:tc>
          <w:tcPr>
            <w:tcW w:w="15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exact"/>
          <w:jc w:val="center"/>
        </w:trPr>
        <w:tc>
          <w:tcPr>
            <w:tcW w:w="747"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535"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939"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3210" w:type="dxa"/>
            <w:gridSpan w:val="2"/>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left"/>
              <w:textAlignment w:val="auto"/>
              <w:rPr>
                <w:rFonts w:hint="eastAsia" w:ascii="Nimbus Roman No9 L" w:hAnsi="Nimbus Roman No9 L" w:eastAsia="仿宋_GB2312" w:cs="仿宋_GB2312"/>
                <w:color w:val="000000" w:themeColor="text1"/>
                <w:sz w:val="21"/>
                <w:szCs w:val="21"/>
                <w:lang w:bidi="ar"/>
                <w14:textFill>
                  <w14:solidFill>
                    <w14:schemeClr w14:val="tx1"/>
                  </w14:solidFill>
                </w14:textFill>
              </w:rPr>
            </w:pPr>
            <w:r>
              <w:rPr>
                <w:rFonts w:hint="eastAsia" w:ascii="Nimbus Roman No9 L" w:hAnsi="Nimbus Roman No9 L" w:eastAsia="仿宋_GB2312" w:cs="仿宋_GB2312"/>
                <w:color w:val="000000" w:themeColor="text1"/>
                <w:sz w:val="21"/>
                <w:szCs w:val="21"/>
                <w:lang w:bidi="ar"/>
                <w14:textFill>
                  <w14:solidFill>
                    <w14:schemeClr w14:val="tx1"/>
                  </w14:solidFill>
                </w14:textFill>
              </w:rPr>
              <w:t>支持建设科技创新基地项目数量</w:t>
            </w:r>
          </w:p>
        </w:tc>
        <w:tc>
          <w:tcPr>
            <w:tcW w:w="1350"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≥6个</w:t>
            </w:r>
          </w:p>
        </w:tc>
        <w:tc>
          <w:tcPr>
            <w:tcW w:w="1545"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13个</w:t>
            </w:r>
          </w:p>
        </w:tc>
        <w:tc>
          <w:tcPr>
            <w:tcW w:w="15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exact"/>
          <w:jc w:val="center"/>
        </w:trPr>
        <w:tc>
          <w:tcPr>
            <w:tcW w:w="747"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535"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939"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3210" w:type="dxa"/>
            <w:gridSpan w:val="2"/>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left"/>
              <w:textAlignment w:val="auto"/>
              <w:rPr>
                <w:rFonts w:hint="eastAsia" w:ascii="Nimbus Roman No9 L" w:hAnsi="Nimbus Roman No9 L" w:eastAsia="仿宋_GB2312" w:cs="仿宋_GB2312"/>
                <w:color w:val="000000" w:themeColor="text1"/>
                <w:sz w:val="21"/>
                <w:szCs w:val="21"/>
                <w:lang w:bidi="ar"/>
                <w14:textFill>
                  <w14:solidFill>
                    <w14:schemeClr w14:val="tx1"/>
                  </w14:solidFill>
                </w14:textFill>
              </w:rPr>
            </w:pPr>
            <w:r>
              <w:rPr>
                <w:rFonts w:hint="eastAsia" w:ascii="Nimbus Roman No9 L" w:hAnsi="Nimbus Roman No9 L" w:eastAsia="仿宋_GB2312" w:cs="仿宋_GB2312"/>
                <w:color w:val="000000" w:themeColor="text1"/>
                <w:sz w:val="21"/>
                <w:szCs w:val="21"/>
                <w:lang w:bidi="ar"/>
                <w14:textFill>
                  <w14:solidFill>
                    <w14:schemeClr w14:val="tx1"/>
                  </w14:solidFill>
                </w14:textFill>
              </w:rPr>
              <w:t>转化科技成果数量</w:t>
            </w:r>
          </w:p>
        </w:tc>
        <w:tc>
          <w:tcPr>
            <w:tcW w:w="1350"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≥200项</w:t>
            </w:r>
          </w:p>
        </w:tc>
        <w:tc>
          <w:tcPr>
            <w:tcW w:w="1545"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679项</w:t>
            </w:r>
          </w:p>
        </w:tc>
        <w:tc>
          <w:tcPr>
            <w:tcW w:w="15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exact"/>
          <w:jc w:val="center"/>
        </w:trPr>
        <w:tc>
          <w:tcPr>
            <w:tcW w:w="747"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535"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939"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3210" w:type="dxa"/>
            <w:gridSpan w:val="2"/>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left"/>
              <w:textAlignment w:val="auto"/>
              <w:rPr>
                <w:rFonts w:hint="eastAsia" w:ascii="Nimbus Roman No9 L" w:hAnsi="Nimbus Roman No9 L" w:eastAsia="仿宋_GB2312" w:cs="仿宋_GB2312"/>
                <w:color w:val="000000" w:themeColor="text1"/>
                <w:sz w:val="21"/>
                <w:szCs w:val="21"/>
                <w:lang w:bidi="ar"/>
                <w14:textFill>
                  <w14:solidFill>
                    <w14:schemeClr w14:val="tx1"/>
                  </w14:solidFill>
                </w14:textFill>
              </w:rPr>
            </w:pPr>
            <w:r>
              <w:rPr>
                <w:rFonts w:hint="eastAsia" w:ascii="Nimbus Roman No9 L" w:hAnsi="Nimbus Roman No9 L" w:eastAsia="仿宋_GB2312" w:cs="仿宋_GB2312"/>
                <w:color w:val="000000" w:themeColor="text1"/>
                <w:sz w:val="21"/>
                <w:szCs w:val="21"/>
                <w:lang w:bidi="ar"/>
                <w14:textFill>
                  <w14:solidFill>
                    <w14:schemeClr w14:val="tx1"/>
                  </w14:solidFill>
                </w14:textFill>
              </w:rPr>
              <w:t xml:space="preserve">支持科技特派员项目数量 </w:t>
            </w:r>
          </w:p>
        </w:tc>
        <w:tc>
          <w:tcPr>
            <w:tcW w:w="1350"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≥50个</w:t>
            </w:r>
          </w:p>
        </w:tc>
        <w:tc>
          <w:tcPr>
            <w:tcW w:w="1545"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60个</w:t>
            </w:r>
          </w:p>
        </w:tc>
        <w:tc>
          <w:tcPr>
            <w:tcW w:w="15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14" w:hRule="exact"/>
          <w:jc w:val="center"/>
        </w:trPr>
        <w:tc>
          <w:tcPr>
            <w:tcW w:w="747"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535"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939"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3210" w:type="dxa"/>
            <w:gridSpan w:val="2"/>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left"/>
              <w:textAlignment w:val="auto"/>
              <w:rPr>
                <w:rFonts w:hint="eastAsia" w:ascii="Nimbus Roman No9 L" w:hAnsi="Nimbus Roman No9 L" w:eastAsia="仿宋_GB2312" w:cs="仿宋_GB2312"/>
                <w:color w:val="000000" w:themeColor="text1"/>
                <w:sz w:val="21"/>
                <w:szCs w:val="21"/>
                <w:lang w:bidi="ar"/>
                <w14:textFill>
                  <w14:solidFill>
                    <w14:schemeClr w14:val="tx1"/>
                  </w14:solidFill>
                </w14:textFill>
              </w:rPr>
            </w:pPr>
            <w:r>
              <w:rPr>
                <w:rFonts w:hint="eastAsia" w:ascii="Nimbus Roman No9 L" w:hAnsi="Nimbus Roman No9 L" w:eastAsia="仿宋_GB2312" w:cs="仿宋_GB2312"/>
                <w:color w:val="000000" w:themeColor="text1"/>
                <w:sz w:val="21"/>
                <w:szCs w:val="21"/>
                <w:lang w:bidi="ar"/>
                <w14:textFill>
                  <w14:solidFill>
                    <w14:schemeClr w14:val="tx1"/>
                  </w14:solidFill>
                </w14:textFill>
              </w:rPr>
              <w:t>支持国家级区域创新载体项目数量</w:t>
            </w:r>
          </w:p>
        </w:tc>
        <w:tc>
          <w:tcPr>
            <w:tcW w:w="1350"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≥6个</w:t>
            </w:r>
          </w:p>
        </w:tc>
        <w:tc>
          <w:tcPr>
            <w:tcW w:w="1545"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27</w:t>
            </w:r>
            <w:r>
              <w:rPr>
                <w:rFonts w:hint="eastAsia" w:ascii="Nimbus Roman No9 L" w:hAnsi="Nimbus Roman No9 L" w:eastAsia="仿宋_GB2312" w:cs="仿宋_GB2312"/>
                <w:color w:val="000000" w:themeColor="text1"/>
                <w:sz w:val="21"/>
                <w:szCs w:val="21"/>
                <w:highlight w:val="none"/>
                <w14:textFill>
                  <w14:solidFill>
                    <w14:schemeClr w14:val="tx1"/>
                  </w14:solidFill>
                </w14:textFill>
              </w:rPr>
              <w:t>个</w:t>
            </w:r>
          </w:p>
        </w:tc>
        <w:tc>
          <w:tcPr>
            <w:tcW w:w="15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99" w:hRule="exact"/>
          <w:jc w:val="center"/>
        </w:trPr>
        <w:tc>
          <w:tcPr>
            <w:tcW w:w="747"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535"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939"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3210" w:type="dxa"/>
            <w:gridSpan w:val="2"/>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left"/>
              <w:textAlignment w:val="auto"/>
              <w:rPr>
                <w:rFonts w:hint="eastAsia" w:ascii="Nimbus Roman No9 L" w:hAnsi="Nimbus Roman No9 L" w:eastAsia="仿宋_GB2312" w:cs="仿宋_GB2312"/>
                <w:color w:val="000000" w:themeColor="text1"/>
                <w:sz w:val="21"/>
                <w:szCs w:val="21"/>
                <w:lang w:bidi="ar"/>
                <w14:textFill>
                  <w14:solidFill>
                    <w14:schemeClr w14:val="tx1"/>
                  </w14:solidFill>
                </w14:textFill>
              </w:rPr>
            </w:pPr>
            <w:r>
              <w:rPr>
                <w:rFonts w:hint="eastAsia" w:ascii="Nimbus Roman No9 L" w:hAnsi="Nimbus Roman No9 L" w:eastAsia="仿宋_GB2312" w:cs="仿宋_GB2312"/>
                <w:color w:val="000000" w:themeColor="text1"/>
                <w:sz w:val="21"/>
                <w:szCs w:val="21"/>
                <w:lang w:bidi="ar"/>
                <w14:textFill>
                  <w14:solidFill>
                    <w14:schemeClr w14:val="tx1"/>
                  </w14:solidFill>
                </w14:textFill>
              </w:rPr>
              <w:t>支持东西部科技合作及区域协同创新项目数量</w:t>
            </w:r>
          </w:p>
        </w:tc>
        <w:tc>
          <w:tcPr>
            <w:tcW w:w="1350"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≥5个</w:t>
            </w:r>
          </w:p>
        </w:tc>
        <w:tc>
          <w:tcPr>
            <w:tcW w:w="1545"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14个</w:t>
            </w:r>
          </w:p>
        </w:tc>
        <w:tc>
          <w:tcPr>
            <w:tcW w:w="15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exact"/>
          <w:jc w:val="center"/>
        </w:trPr>
        <w:tc>
          <w:tcPr>
            <w:tcW w:w="747"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535"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939"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时效指标</w:t>
            </w:r>
          </w:p>
        </w:tc>
        <w:tc>
          <w:tcPr>
            <w:tcW w:w="3210" w:type="dxa"/>
            <w:gridSpan w:val="2"/>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资金拨付及时率</w:t>
            </w:r>
          </w:p>
        </w:tc>
        <w:tc>
          <w:tcPr>
            <w:tcW w:w="135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≥90%</w:t>
            </w:r>
          </w:p>
        </w:tc>
        <w:tc>
          <w:tcPr>
            <w:tcW w:w="1545"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≥90%</w:t>
            </w:r>
          </w:p>
        </w:tc>
        <w:tc>
          <w:tcPr>
            <w:tcW w:w="15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39" w:hRule="exact"/>
          <w:jc w:val="center"/>
        </w:trPr>
        <w:tc>
          <w:tcPr>
            <w:tcW w:w="747"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535" w:type="dxa"/>
            <w:vMerge w:val="restart"/>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效</w:t>
            </w:r>
          </w:p>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益</w:t>
            </w:r>
          </w:p>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指</w:t>
            </w:r>
          </w:p>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标</w:t>
            </w:r>
          </w:p>
        </w:tc>
        <w:tc>
          <w:tcPr>
            <w:tcW w:w="939" w:type="dxa"/>
            <w:vMerge w:val="restart"/>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经济效益</w:t>
            </w:r>
          </w:p>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指标</w:t>
            </w:r>
          </w:p>
        </w:tc>
        <w:tc>
          <w:tcPr>
            <w:tcW w:w="3210" w:type="dxa"/>
            <w:gridSpan w:val="2"/>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left"/>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带动社会投入与引导资金投入比例</w:t>
            </w:r>
          </w:p>
        </w:tc>
        <w:tc>
          <w:tcPr>
            <w:tcW w:w="1350"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≥2</w:t>
            </w:r>
          </w:p>
        </w:tc>
        <w:tc>
          <w:tcPr>
            <w:tcW w:w="1545"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default" w:ascii="Nimbus Roman No9 L" w:hAnsi="Nimbus Roman No9 L" w:eastAsia="仿宋_GB2312" w:cs="仿宋_GB2312"/>
                <w:color w:val="000000" w:themeColor="text1"/>
                <w:sz w:val="21"/>
                <w:szCs w:val="21"/>
                <w:lang w:val="en-US" w:eastAsia="zh-CN"/>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2.</w:t>
            </w:r>
            <w:r>
              <w:rPr>
                <w:rFonts w:hint="eastAsia" w:ascii="Nimbus Roman No9 L" w:hAnsi="Nimbus Roman No9 L" w:cs="仿宋_GB2312"/>
                <w:color w:val="000000" w:themeColor="text1"/>
                <w:sz w:val="21"/>
                <w:szCs w:val="21"/>
                <w:lang w:val="en-US" w:eastAsia="zh-CN"/>
                <w14:textFill>
                  <w14:solidFill>
                    <w14:schemeClr w14:val="tx1"/>
                  </w14:solidFill>
                </w14:textFill>
              </w:rPr>
              <w:t>42</w:t>
            </w:r>
          </w:p>
        </w:tc>
        <w:tc>
          <w:tcPr>
            <w:tcW w:w="15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747"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535"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939"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3210" w:type="dxa"/>
            <w:gridSpan w:val="2"/>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left"/>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促进科技投融资金额</w:t>
            </w:r>
          </w:p>
        </w:tc>
        <w:tc>
          <w:tcPr>
            <w:tcW w:w="1350"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≥11000万元</w:t>
            </w:r>
          </w:p>
        </w:tc>
        <w:tc>
          <w:tcPr>
            <w:tcW w:w="1545"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71869万元</w:t>
            </w:r>
          </w:p>
        </w:tc>
        <w:tc>
          <w:tcPr>
            <w:tcW w:w="15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exact"/>
          <w:jc w:val="center"/>
        </w:trPr>
        <w:tc>
          <w:tcPr>
            <w:tcW w:w="747"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535"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939"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3210" w:type="dxa"/>
            <w:gridSpan w:val="2"/>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left"/>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新增在孵企业数量</w:t>
            </w:r>
          </w:p>
        </w:tc>
        <w:tc>
          <w:tcPr>
            <w:tcW w:w="1350"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≥110家</w:t>
            </w:r>
          </w:p>
        </w:tc>
        <w:tc>
          <w:tcPr>
            <w:tcW w:w="1545"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115家</w:t>
            </w:r>
          </w:p>
        </w:tc>
        <w:tc>
          <w:tcPr>
            <w:tcW w:w="15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747"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535"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939"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3210" w:type="dxa"/>
            <w:gridSpan w:val="2"/>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left"/>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支持高新技术企业数量</w:t>
            </w:r>
          </w:p>
        </w:tc>
        <w:tc>
          <w:tcPr>
            <w:tcW w:w="1350"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≥90家</w:t>
            </w:r>
          </w:p>
        </w:tc>
        <w:tc>
          <w:tcPr>
            <w:tcW w:w="1545"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229家</w:t>
            </w:r>
          </w:p>
        </w:tc>
        <w:tc>
          <w:tcPr>
            <w:tcW w:w="15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exact"/>
          <w:jc w:val="center"/>
        </w:trPr>
        <w:tc>
          <w:tcPr>
            <w:tcW w:w="747"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535"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939"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3210" w:type="dxa"/>
            <w:gridSpan w:val="2"/>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left"/>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支持科技型中小企业数量</w:t>
            </w:r>
          </w:p>
        </w:tc>
        <w:tc>
          <w:tcPr>
            <w:tcW w:w="1350"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≥100家</w:t>
            </w:r>
          </w:p>
        </w:tc>
        <w:tc>
          <w:tcPr>
            <w:tcW w:w="1545"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317家</w:t>
            </w:r>
          </w:p>
        </w:tc>
        <w:tc>
          <w:tcPr>
            <w:tcW w:w="15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exact"/>
          <w:jc w:val="center"/>
        </w:trPr>
        <w:tc>
          <w:tcPr>
            <w:tcW w:w="747"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535"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939"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3210" w:type="dxa"/>
            <w:gridSpan w:val="2"/>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left"/>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促进技术合同成交额</w:t>
            </w:r>
          </w:p>
        </w:tc>
        <w:tc>
          <w:tcPr>
            <w:tcW w:w="1350"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w:t>
            </w:r>
          </w:p>
        </w:tc>
        <w:tc>
          <w:tcPr>
            <w:tcW w:w="1545"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170763.18万元</w:t>
            </w:r>
          </w:p>
        </w:tc>
        <w:tc>
          <w:tcPr>
            <w:tcW w:w="15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34" w:hRule="exact"/>
          <w:jc w:val="center"/>
        </w:trPr>
        <w:tc>
          <w:tcPr>
            <w:tcW w:w="747"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535"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939"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3210" w:type="dxa"/>
            <w:gridSpan w:val="2"/>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left"/>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pacing w:val="-6"/>
                <w:sz w:val="21"/>
                <w:szCs w:val="21"/>
                <w14:textFill>
                  <w14:solidFill>
                    <w14:schemeClr w14:val="tx1"/>
                  </w14:solidFill>
                </w14:textFill>
              </w:rPr>
              <w:t>带动地方投入东西科技合作及区域协同创新资金</w:t>
            </w:r>
          </w:p>
        </w:tc>
        <w:tc>
          <w:tcPr>
            <w:tcW w:w="1350"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≥200万元</w:t>
            </w:r>
          </w:p>
        </w:tc>
        <w:tc>
          <w:tcPr>
            <w:tcW w:w="1545"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630万元</w:t>
            </w:r>
          </w:p>
        </w:tc>
        <w:tc>
          <w:tcPr>
            <w:tcW w:w="15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exact"/>
          <w:jc w:val="center"/>
        </w:trPr>
        <w:tc>
          <w:tcPr>
            <w:tcW w:w="747"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535"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939" w:type="dxa"/>
            <w:vMerge w:val="restart"/>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社会效益</w:t>
            </w:r>
          </w:p>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指标</w:t>
            </w:r>
          </w:p>
        </w:tc>
        <w:tc>
          <w:tcPr>
            <w:tcW w:w="3210" w:type="dxa"/>
            <w:gridSpan w:val="2"/>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left"/>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区域科技创新能力</w:t>
            </w:r>
          </w:p>
        </w:tc>
        <w:tc>
          <w:tcPr>
            <w:tcW w:w="1350"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w:t>
            </w:r>
          </w:p>
        </w:tc>
        <w:tc>
          <w:tcPr>
            <w:tcW w:w="1545"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稳步提升</w:t>
            </w:r>
          </w:p>
        </w:tc>
        <w:tc>
          <w:tcPr>
            <w:tcW w:w="15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74" w:hRule="exact"/>
          <w:jc w:val="center"/>
        </w:trPr>
        <w:tc>
          <w:tcPr>
            <w:tcW w:w="747"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535"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939"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3210" w:type="dxa"/>
            <w:gridSpan w:val="2"/>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left"/>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培训从事技术创新服务人员数量</w:t>
            </w:r>
          </w:p>
        </w:tc>
        <w:tc>
          <w:tcPr>
            <w:tcW w:w="1350"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≥1100人次</w:t>
            </w:r>
          </w:p>
        </w:tc>
        <w:tc>
          <w:tcPr>
            <w:tcW w:w="1545"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6715人次</w:t>
            </w:r>
          </w:p>
        </w:tc>
        <w:tc>
          <w:tcPr>
            <w:tcW w:w="15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exact"/>
          <w:jc w:val="center"/>
        </w:trPr>
        <w:tc>
          <w:tcPr>
            <w:tcW w:w="747"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535"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939"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3210" w:type="dxa"/>
            <w:gridSpan w:val="2"/>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left"/>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提供技术咨询/技术服务数量</w:t>
            </w:r>
          </w:p>
        </w:tc>
        <w:tc>
          <w:tcPr>
            <w:tcW w:w="1350"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≥3200人次</w:t>
            </w:r>
          </w:p>
        </w:tc>
        <w:tc>
          <w:tcPr>
            <w:tcW w:w="1545"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8725人次</w:t>
            </w:r>
          </w:p>
        </w:tc>
        <w:tc>
          <w:tcPr>
            <w:tcW w:w="15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exact"/>
          <w:jc w:val="center"/>
        </w:trPr>
        <w:tc>
          <w:tcPr>
            <w:tcW w:w="747"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535"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939"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3210" w:type="dxa"/>
            <w:gridSpan w:val="2"/>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left"/>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培训和指导农业科技服务数量</w:t>
            </w:r>
          </w:p>
        </w:tc>
        <w:tc>
          <w:tcPr>
            <w:tcW w:w="1350"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≥3200人次</w:t>
            </w:r>
          </w:p>
        </w:tc>
        <w:tc>
          <w:tcPr>
            <w:tcW w:w="1545"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6246人次</w:t>
            </w:r>
          </w:p>
        </w:tc>
        <w:tc>
          <w:tcPr>
            <w:tcW w:w="15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exact"/>
          <w:jc w:val="center"/>
        </w:trPr>
        <w:tc>
          <w:tcPr>
            <w:tcW w:w="747"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535"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939"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3210" w:type="dxa"/>
            <w:gridSpan w:val="2"/>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left"/>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培训技术经纪人数量</w:t>
            </w:r>
          </w:p>
        </w:tc>
        <w:tc>
          <w:tcPr>
            <w:tcW w:w="1350"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≥400人次</w:t>
            </w:r>
          </w:p>
        </w:tc>
        <w:tc>
          <w:tcPr>
            <w:tcW w:w="1545"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1234人次</w:t>
            </w:r>
          </w:p>
        </w:tc>
        <w:tc>
          <w:tcPr>
            <w:tcW w:w="15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exact"/>
          <w:jc w:val="center"/>
        </w:trPr>
        <w:tc>
          <w:tcPr>
            <w:tcW w:w="747"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535"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939"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3210" w:type="dxa"/>
            <w:gridSpan w:val="2"/>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left"/>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开展创业辅导活动</w:t>
            </w:r>
          </w:p>
        </w:tc>
        <w:tc>
          <w:tcPr>
            <w:tcW w:w="1350"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≥30场</w:t>
            </w:r>
          </w:p>
        </w:tc>
        <w:tc>
          <w:tcPr>
            <w:tcW w:w="1545"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123场</w:t>
            </w:r>
          </w:p>
        </w:tc>
        <w:tc>
          <w:tcPr>
            <w:tcW w:w="15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4" w:hRule="exact"/>
          <w:jc w:val="center"/>
        </w:trPr>
        <w:tc>
          <w:tcPr>
            <w:tcW w:w="747"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535"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939"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3210" w:type="dxa"/>
            <w:gridSpan w:val="2"/>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left"/>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科技特派员服务农民</w:t>
            </w:r>
          </w:p>
        </w:tc>
        <w:tc>
          <w:tcPr>
            <w:tcW w:w="1350"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≥500户</w:t>
            </w:r>
          </w:p>
        </w:tc>
        <w:tc>
          <w:tcPr>
            <w:tcW w:w="1545"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1807户</w:t>
            </w:r>
          </w:p>
        </w:tc>
        <w:tc>
          <w:tcPr>
            <w:tcW w:w="15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36" w:hRule="exact"/>
          <w:jc w:val="center"/>
        </w:trPr>
        <w:tc>
          <w:tcPr>
            <w:tcW w:w="747" w:type="dxa"/>
            <w:vMerge w:val="continue"/>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c>
          <w:tcPr>
            <w:tcW w:w="535"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满意</w:t>
            </w:r>
          </w:p>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度指</w:t>
            </w:r>
          </w:p>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标</w:t>
            </w:r>
          </w:p>
        </w:tc>
        <w:tc>
          <w:tcPr>
            <w:tcW w:w="939"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服务对象</w:t>
            </w:r>
          </w:p>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满意度指标</w:t>
            </w:r>
          </w:p>
        </w:tc>
        <w:tc>
          <w:tcPr>
            <w:tcW w:w="3210" w:type="dxa"/>
            <w:gridSpan w:val="2"/>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left"/>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lang w:bidi="ar"/>
                <w14:textFill>
                  <w14:solidFill>
                    <w14:schemeClr w14:val="tx1"/>
                  </w14:solidFill>
                </w14:textFill>
              </w:rPr>
              <w:t>被服务对象满意度</w:t>
            </w:r>
          </w:p>
        </w:tc>
        <w:tc>
          <w:tcPr>
            <w:tcW w:w="1350"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≥85</w:t>
            </w:r>
            <w:r>
              <w:rPr>
                <w:rFonts w:hint="eastAsia" w:ascii="Nimbus Roman No9 L" w:hAnsi="Nimbus Roman No9 L" w:eastAsia="仿宋_GB2312" w:cs="仿宋_GB2312"/>
                <w:color w:val="000000" w:themeColor="text1"/>
                <w:sz w:val="21"/>
                <w:szCs w:val="21"/>
                <w:lang w:bidi="ar"/>
                <w14:textFill>
                  <w14:solidFill>
                    <w14:schemeClr w14:val="tx1"/>
                  </w14:solidFill>
                </w14:textFill>
              </w:rPr>
              <w:t>%</w:t>
            </w:r>
          </w:p>
        </w:tc>
        <w:tc>
          <w:tcPr>
            <w:tcW w:w="1545" w:type="dxa"/>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≥85</w:t>
            </w:r>
            <w:r>
              <w:rPr>
                <w:rFonts w:hint="eastAsia" w:ascii="Nimbus Roman No9 L" w:hAnsi="Nimbus Roman No9 L" w:eastAsia="仿宋_GB2312" w:cs="仿宋_GB2312"/>
                <w:color w:val="000000" w:themeColor="text1"/>
                <w:sz w:val="21"/>
                <w:szCs w:val="21"/>
                <w:lang w:bidi="ar"/>
                <w14:textFill>
                  <w14:solidFill>
                    <w14:schemeClr w14:val="tx1"/>
                  </w14:solidFill>
                </w14:textFill>
              </w:rPr>
              <w:t>%</w:t>
            </w:r>
          </w:p>
        </w:tc>
        <w:tc>
          <w:tcPr>
            <w:tcW w:w="1580"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36" w:hRule="exact"/>
          <w:jc w:val="center"/>
        </w:trPr>
        <w:tc>
          <w:tcPr>
            <w:tcW w:w="747" w:type="dxa"/>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jc w:val="center"/>
              <w:textAlignment w:val="auto"/>
              <w:rPr>
                <w:rFonts w:hint="eastAsia" w:ascii="Nimbus Roman No9 L" w:hAnsi="Nimbus Roman No9 L" w:eastAsia="仿宋_GB2312" w:cs="仿宋_GB2312"/>
                <w:color w:val="000000" w:themeColor="text1"/>
                <w:sz w:val="21"/>
                <w:szCs w:val="21"/>
                <w:lang w:val="en-US" w:eastAsia="zh-CN" w:bidi="ar-SA"/>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说明</w:t>
            </w:r>
          </w:p>
        </w:tc>
        <w:tc>
          <w:tcPr>
            <w:tcW w:w="9159" w:type="dxa"/>
            <w:gridSpan w:val="7"/>
            <w:vAlign w:val="center"/>
          </w:tcPr>
          <w:p>
            <w:pPr>
              <w:keepNext w:val="0"/>
              <w:keepLines w:val="0"/>
              <w:pageBreakBefore w:val="0"/>
              <w:kinsoku/>
              <w:wordWrap/>
              <w:overflowPunct/>
              <w:topLinePunct w:val="0"/>
              <w:autoSpaceDE/>
              <w:autoSpaceDN/>
              <w:bidi w:val="0"/>
              <w:adjustRightInd/>
              <w:snapToGrid/>
              <w:spacing w:line="240" w:lineRule="atLeast"/>
              <w:ind w:firstLine="0" w:firstLineChars="0"/>
              <w:textAlignment w:val="auto"/>
              <w:rPr>
                <w:rFonts w:hint="eastAsia" w:ascii="Nimbus Roman No9 L" w:hAnsi="Nimbus Roman No9 L" w:eastAsia="仿宋_GB2312" w:cs="仿宋_GB2312"/>
                <w:color w:val="000000" w:themeColor="text1"/>
                <w:sz w:val="21"/>
                <w:szCs w:val="21"/>
                <w14:textFill>
                  <w14:solidFill>
                    <w14:schemeClr w14:val="tx1"/>
                  </w14:solidFill>
                </w14:textFill>
              </w:rPr>
            </w:pPr>
            <w:r>
              <w:rPr>
                <w:rFonts w:hint="eastAsia" w:ascii="Nimbus Roman No9 L" w:hAnsi="Nimbus Roman No9 L" w:eastAsia="仿宋_GB2312" w:cs="仿宋_GB2312"/>
                <w:color w:val="000000" w:themeColor="text1"/>
                <w:sz w:val="21"/>
                <w:szCs w:val="21"/>
                <w14:textFill>
                  <w14:solidFill>
                    <w14:schemeClr w14:val="tx1"/>
                  </w14:solidFill>
                </w14:textFill>
              </w:rPr>
              <w:t>无</w:t>
            </w:r>
          </w:p>
        </w:tc>
      </w:tr>
    </w:tbl>
    <w:p>
      <w:pPr>
        <w:keepNext w:val="0"/>
        <w:keepLines w:val="0"/>
        <w:pageBreakBefore w:val="0"/>
        <w:widowControl w:val="0"/>
        <w:kinsoku/>
        <w:wordWrap/>
        <w:overflowPunct/>
        <w:topLinePunct w:val="0"/>
        <w:autoSpaceDE/>
        <w:autoSpaceDN/>
        <w:bidi w:val="0"/>
        <w:adjustRightInd/>
        <w:snapToGrid/>
        <w:spacing w:line="14" w:lineRule="exact"/>
        <w:ind w:left="0" w:leftChars="0" w:firstLine="0" w:firstLineChars="0"/>
        <w:textAlignment w:val="auto"/>
        <w:rPr>
          <w:rFonts w:ascii="Nimbus Roman No9 L" w:hAnsi="Nimbus Roman No9 L" w:eastAsia="宋体"/>
          <w:b/>
          <w:bCs/>
          <w:color w:val="000000" w:themeColor="text1"/>
          <w:sz w:val="15"/>
          <w:szCs w:val="15"/>
          <w14:textFill>
            <w14:solidFill>
              <w14:schemeClr w14:val="tx1"/>
            </w14:solidFill>
          </w14:textFill>
        </w:rPr>
      </w:pPr>
    </w:p>
    <w:sectPr>
      <w:headerReference r:id="rId6" w:type="first"/>
      <w:footerReference r:id="rId8" w:type="first"/>
      <w:headerReference r:id="rId5" w:type="default"/>
      <w:footerReference r:id="rId7" w:type="default"/>
      <w:pgSz w:w="11900" w:h="16840"/>
      <w:pgMar w:top="1417" w:right="1474" w:bottom="1417" w:left="1587" w:header="0" w:footer="1020" w:gutter="0"/>
      <w:pgNumType w:fmt="numberInDash"/>
      <w:cols w:space="0" w:num="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东文宋体">
    <w:altName w:val="方正书宋_GBK"/>
    <w:panose1 w:val="00000000000000000000"/>
    <w:charset w:val="00"/>
    <w:family w:val="auto"/>
    <w:pitch w:val="default"/>
    <w:sig w:usb0="00000000" w:usb1="00000000" w:usb2="00000000" w:usb3="00000000" w:csb0="00000000" w:csb1="00000000"/>
  </w:font>
  <w:font w:name="微软雅黑">
    <w:altName w:val="黑体"/>
    <w:panose1 w:val="020B0503020204020204"/>
    <w:charset w:val="86"/>
    <w:family w:val="swiss"/>
    <w:pitch w:val="default"/>
    <w:sig w:usb0="00000000" w:usb1="00000000" w:usb2="00000016" w:usb3="00000000" w:csb0="0004001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0" w:leftChars="0" w:firstLine="0" w:firstLineChars="0"/>
      <w:rPr>
        <w:rFonts w:asciiTheme="minorEastAsia" w:hAnsiTheme="minorEastAsia" w:eastAsiaTheme="minorEastAsia"/>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napToGrid w:val="0"/>
                            <w:ind w:firstLine="0" w:firstLineChars="0"/>
                            <w:textAlignment w:val="auto"/>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4"/>
                      <w:keepNext w:val="0"/>
                      <w:keepLines w:val="0"/>
                      <w:pageBreakBefore w:val="0"/>
                      <w:widowControl w:val="0"/>
                      <w:kinsoku/>
                      <w:wordWrap/>
                      <w:overflowPunct/>
                      <w:topLinePunct w:val="0"/>
                      <w:autoSpaceDE/>
                      <w:autoSpaceDN/>
                      <w:bidi w:val="0"/>
                      <w:adjustRightInd/>
                      <w:snapToGrid w:val="0"/>
                      <w:ind w:firstLine="0" w:firstLineChars="0"/>
                      <w:textAlignment w:val="auto"/>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eepNext w:val="0"/>
      <w:keepLines w:val="0"/>
      <w:pageBreakBefore w:val="0"/>
      <w:widowControl w:val="0"/>
      <w:kinsoku/>
      <w:wordWrap/>
      <w:overflowPunct/>
      <w:topLinePunct w:val="0"/>
      <w:autoSpaceDE/>
      <w:autoSpaceDN/>
      <w:bidi w:val="0"/>
      <w:adjustRightInd/>
      <w:snapToGrid w:val="0"/>
      <w:ind w:firstLine="0" w:firstLineChars="0"/>
      <w:textAlignment w:val="auto"/>
      <w:rPr>
        <w:rFonts w:asciiTheme="minorEastAsia" w:hAnsiTheme="minorEastAsia" w:eastAsiaTheme="minorEastAsia"/>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477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6477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napToGrid w:val="0"/>
                            <w:ind w:firstLine="0" w:firstLineChars="0"/>
                            <w:jc w:val="center"/>
                            <w:textAlignment w:val="auto"/>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squar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51pt;mso-position-horizontal:center;mso-position-horizontal-relative:margin;z-index:251659264;mso-width-relative:page;mso-height-relative:page;" filled="f" stroked="f" coordsize="21600,21600" o:gfxdata="UEsFBgAAAAAAAAAAAAAAAAAAAAAAAFBLAwQKAAAAAACHTuJAAAAAAAAAAAAAAAAABAAAAGRycy9Q&#10;SwMEFAAAAAgAh07iQJdOMSjSAAAABQEAAA8AAABkcnMvZG93bnJldi54bWxNj0FPwzAMhe9I/IfI&#10;SNxYsh5QVZrugGAHONEhxNFr3abQOFWTdYNfj8cFLpae3vPz53Jz8qNaaI5DYAvrlQFF3IR24N7C&#10;6+7xJgcVE3KLY2Cy8EURNtXlRYlFG478QkudeiUlHAu04FKaCq1j48hjXIWJWLwuzB6TyLnX7YxH&#10;Kfejzoy51R4HlgsOJ7p31HzWBy8Yb8/Gb7879+6fsIu12y3bhw9rr6/W5g5UolP6C8MZX3agEqZ9&#10;OHAb1WhBHkm/8+yZTOTeQpbnBnRV6v/01Q9QSwMEFAAAAAgAh07iQHUCSdIhAgAAKgQAAA4AAABk&#10;cnMvZTJvRG9jLnhtbK1TzY7TMBC+I/EOlu80aYHdqmq6KrsqQlqxKxXE2XXsJpL/sN0m5QHgDThx&#10;4c5z9Tn4nCYtAk6Iiz3jGc/PN9/Mb1qtyF74UFtT0PEop0QYbsvabAv6/t3q2ZSSEJkpmbJGFPQg&#10;Ar1ZPH0yb9xMTGxlVSk8QRATZo0raBWjm2VZ4JXQLIysEwZGab1mEarfZqVnDaJrlU3y/CprrC+d&#10;t1yEgNe7k5EuuvhSCh4fpAwiElVQ1Ba703fnJp3ZYs5mW89cVfO+DPYPVWhWGyQ9h7pjkZGdr/8I&#10;pWvubbAyjrjVmZWy5qLrAd2M89+6WVfMia4XgBPcGabw/8Lyt/tHT+qyoBNKDNMY0fHrl+O3H8fv&#10;n8kkwdO4MIPX2sEvtq9sW9Dod2IwBbynxlvpdbrREoELsD6c8RVtJByPVy+ur3NYOEzj6WQ6hYIM&#10;2eW38yG+FlaTJBTUY34drGx/H+LJdXBJyYxd1Up1M1SGNMjw/GXefThbEFwZ5EhtnGpNUmw3bd/b&#10;xpYHtObtiRvB8VWN5PcsxEfmQQYUDILHBxxSWSSxvURJZf2nv70nf8wIVkoakKug4eOOeUGJemMw&#10;vcTEQfCDsBkEs9O3FnwdY3Uc70R88FENovRWfwDvlymLZCogMDMc+TCbQbyN0Hoj9oeL5fKs75yv&#10;t9XlM7joWLw3a8f76SZ0g1vuIhDugE+onaDqwQQhu9H1y5MY/6veeV1WfPET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FgAAAGRycy9QSwEC&#10;FAAUAAAACACHTuJAl04xKNIAAAAFAQAADwAAAAAAAAABACAAAAA4AAAAZHJzL2Rvd25yZXYueG1s&#10;UEsBAhQAFAAAAAgAh07iQHUCSdIhAgAAKgQAAA4AAAAAAAAAAQAgAAAANwEAAGRycy9lMm9Eb2Mu&#10;eG1sUEsFBgAAAAAGAAYAWQEAAMoFAAAAAA==&#10;">
              <v:fill on="f" focussize="0,0"/>
              <v:stroke on="f" weight="0.5pt"/>
              <v:imagedata o:title=""/>
              <o:lock v:ext="edit" aspectratio="f"/>
              <v:textbox inset="0mm,0mm,0mm,0mm" style="mso-fit-shape-to-text:t;">
                <w:txbxContent>
                  <w:p>
                    <w:pPr>
                      <w:pStyle w:val="4"/>
                      <w:keepNext w:val="0"/>
                      <w:keepLines w:val="0"/>
                      <w:pageBreakBefore w:val="0"/>
                      <w:widowControl w:val="0"/>
                      <w:kinsoku/>
                      <w:wordWrap/>
                      <w:overflowPunct/>
                      <w:topLinePunct w:val="0"/>
                      <w:autoSpaceDE/>
                      <w:autoSpaceDN/>
                      <w:bidi w:val="0"/>
                      <w:adjustRightInd/>
                      <w:snapToGrid w:val="0"/>
                      <w:ind w:firstLine="0" w:firstLineChars="0"/>
                      <w:jc w:val="center"/>
                      <w:textAlignment w:val="auto"/>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VerticalSpacing w:val="143"/>
  <w:noPunctuationKerning w:val="true"/>
  <w:characterSpacingControl w:val="doNotCompress"/>
  <w:footnotePr>
    <w:footnote w:id="0"/>
    <w:footnote w:id="1"/>
  </w:footnotePr>
  <w:endnotePr>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F65"/>
    <w:rsid w:val="00000A00"/>
    <w:rsid w:val="00001257"/>
    <w:rsid w:val="0000248C"/>
    <w:rsid w:val="00004798"/>
    <w:rsid w:val="00074CBB"/>
    <w:rsid w:val="000923CC"/>
    <w:rsid w:val="00092BC7"/>
    <w:rsid w:val="000A487C"/>
    <w:rsid w:val="001548DE"/>
    <w:rsid w:val="0017631C"/>
    <w:rsid w:val="00181E43"/>
    <w:rsid w:val="001D13C9"/>
    <w:rsid w:val="001F2CF0"/>
    <w:rsid w:val="001F6F2F"/>
    <w:rsid w:val="00200108"/>
    <w:rsid w:val="00210B9F"/>
    <w:rsid w:val="00213F4B"/>
    <w:rsid w:val="00217DFE"/>
    <w:rsid w:val="00225FC1"/>
    <w:rsid w:val="00246E9D"/>
    <w:rsid w:val="00276E57"/>
    <w:rsid w:val="002E16DB"/>
    <w:rsid w:val="002F24C5"/>
    <w:rsid w:val="003043FB"/>
    <w:rsid w:val="003112CB"/>
    <w:rsid w:val="00356F3D"/>
    <w:rsid w:val="003E49A9"/>
    <w:rsid w:val="003E7C05"/>
    <w:rsid w:val="0041661D"/>
    <w:rsid w:val="00427D66"/>
    <w:rsid w:val="00437B46"/>
    <w:rsid w:val="00456944"/>
    <w:rsid w:val="004B52EA"/>
    <w:rsid w:val="004C0B6F"/>
    <w:rsid w:val="004D33BA"/>
    <w:rsid w:val="00505E67"/>
    <w:rsid w:val="005441DF"/>
    <w:rsid w:val="0054602A"/>
    <w:rsid w:val="00595B47"/>
    <w:rsid w:val="005B6DC3"/>
    <w:rsid w:val="006258DE"/>
    <w:rsid w:val="00626A27"/>
    <w:rsid w:val="0065735B"/>
    <w:rsid w:val="006620DE"/>
    <w:rsid w:val="00690A69"/>
    <w:rsid w:val="006B179B"/>
    <w:rsid w:val="006C4029"/>
    <w:rsid w:val="006C60B6"/>
    <w:rsid w:val="006C7901"/>
    <w:rsid w:val="006E2789"/>
    <w:rsid w:val="00717070"/>
    <w:rsid w:val="00760CA9"/>
    <w:rsid w:val="00764EC8"/>
    <w:rsid w:val="007764D0"/>
    <w:rsid w:val="00794A58"/>
    <w:rsid w:val="007A7AEB"/>
    <w:rsid w:val="007B116C"/>
    <w:rsid w:val="007B785A"/>
    <w:rsid w:val="007E2CCC"/>
    <w:rsid w:val="007E7B92"/>
    <w:rsid w:val="00806230"/>
    <w:rsid w:val="00827ECA"/>
    <w:rsid w:val="00837829"/>
    <w:rsid w:val="00850E7F"/>
    <w:rsid w:val="00863BB9"/>
    <w:rsid w:val="008A4CBB"/>
    <w:rsid w:val="008B4878"/>
    <w:rsid w:val="008F4739"/>
    <w:rsid w:val="00916DAE"/>
    <w:rsid w:val="00946BB4"/>
    <w:rsid w:val="00974B4C"/>
    <w:rsid w:val="009B5437"/>
    <w:rsid w:val="009D4971"/>
    <w:rsid w:val="00A97ACD"/>
    <w:rsid w:val="00AE1E71"/>
    <w:rsid w:val="00B2084E"/>
    <w:rsid w:val="00B215D6"/>
    <w:rsid w:val="00B301B3"/>
    <w:rsid w:val="00B33FA7"/>
    <w:rsid w:val="00B4137D"/>
    <w:rsid w:val="00B82F65"/>
    <w:rsid w:val="00BB1A4C"/>
    <w:rsid w:val="00BB43CE"/>
    <w:rsid w:val="00C1050E"/>
    <w:rsid w:val="00C114BF"/>
    <w:rsid w:val="00C34731"/>
    <w:rsid w:val="00C71796"/>
    <w:rsid w:val="00C8367E"/>
    <w:rsid w:val="00CB612B"/>
    <w:rsid w:val="00CC63FC"/>
    <w:rsid w:val="00CE61A7"/>
    <w:rsid w:val="00D01B92"/>
    <w:rsid w:val="00D04E76"/>
    <w:rsid w:val="00D31A0A"/>
    <w:rsid w:val="00D3397B"/>
    <w:rsid w:val="00D4694E"/>
    <w:rsid w:val="00D50FDC"/>
    <w:rsid w:val="00DE20F3"/>
    <w:rsid w:val="00DF759B"/>
    <w:rsid w:val="00E04448"/>
    <w:rsid w:val="00E24331"/>
    <w:rsid w:val="00E2620D"/>
    <w:rsid w:val="00E36B7C"/>
    <w:rsid w:val="00E41250"/>
    <w:rsid w:val="00E54B02"/>
    <w:rsid w:val="00E84C83"/>
    <w:rsid w:val="00EA628F"/>
    <w:rsid w:val="00EB246D"/>
    <w:rsid w:val="00EB5517"/>
    <w:rsid w:val="00EC2646"/>
    <w:rsid w:val="00ED39AE"/>
    <w:rsid w:val="00EF0ADC"/>
    <w:rsid w:val="00EF36EF"/>
    <w:rsid w:val="00F23385"/>
    <w:rsid w:val="00F64B2B"/>
    <w:rsid w:val="00FC445C"/>
    <w:rsid w:val="00FE3A31"/>
    <w:rsid w:val="01D37B60"/>
    <w:rsid w:val="02F418A4"/>
    <w:rsid w:val="03CB5125"/>
    <w:rsid w:val="03FB004C"/>
    <w:rsid w:val="075BB117"/>
    <w:rsid w:val="0BFE14D8"/>
    <w:rsid w:val="0D5804A6"/>
    <w:rsid w:val="11115CB8"/>
    <w:rsid w:val="11492705"/>
    <w:rsid w:val="157727EC"/>
    <w:rsid w:val="1AE263EA"/>
    <w:rsid w:val="1DB74027"/>
    <w:rsid w:val="1EE8290B"/>
    <w:rsid w:val="1FD75EB6"/>
    <w:rsid w:val="1FF34D04"/>
    <w:rsid w:val="24AA3A10"/>
    <w:rsid w:val="274D5443"/>
    <w:rsid w:val="2AFFCE6A"/>
    <w:rsid w:val="39DF2F5D"/>
    <w:rsid w:val="3A0E30A5"/>
    <w:rsid w:val="3CFFAD8D"/>
    <w:rsid w:val="3DEF78F1"/>
    <w:rsid w:val="3E3BA4A7"/>
    <w:rsid w:val="3E5FDF10"/>
    <w:rsid w:val="3EFBE507"/>
    <w:rsid w:val="3FDCA03C"/>
    <w:rsid w:val="460B7CA5"/>
    <w:rsid w:val="48797B96"/>
    <w:rsid w:val="4B801F8A"/>
    <w:rsid w:val="51FB7A2D"/>
    <w:rsid w:val="599C49B9"/>
    <w:rsid w:val="59F739AB"/>
    <w:rsid w:val="5ADDAA97"/>
    <w:rsid w:val="5BBB6BA1"/>
    <w:rsid w:val="5C290C8A"/>
    <w:rsid w:val="5E9E4C37"/>
    <w:rsid w:val="5EEDA7A7"/>
    <w:rsid w:val="5F501860"/>
    <w:rsid w:val="5FFF7DBD"/>
    <w:rsid w:val="61CB3EFE"/>
    <w:rsid w:val="6281516D"/>
    <w:rsid w:val="69436FE9"/>
    <w:rsid w:val="6ACF2366"/>
    <w:rsid w:val="6C2F18FC"/>
    <w:rsid w:val="6C357761"/>
    <w:rsid w:val="6E81246D"/>
    <w:rsid w:val="6F9B009D"/>
    <w:rsid w:val="6F9F1A67"/>
    <w:rsid w:val="6FFF6C93"/>
    <w:rsid w:val="72065F6B"/>
    <w:rsid w:val="74935932"/>
    <w:rsid w:val="77C74D6A"/>
    <w:rsid w:val="77FA858F"/>
    <w:rsid w:val="77FB015A"/>
    <w:rsid w:val="79BB0BE2"/>
    <w:rsid w:val="7B19216A"/>
    <w:rsid w:val="7C5E4A05"/>
    <w:rsid w:val="7DF79351"/>
    <w:rsid w:val="7DFE1375"/>
    <w:rsid w:val="7DFF00EC"/>
    <w:rsid w:val="7EADA6DF"/>
    <w:rsid w:val="7EB7C54D"/>
    <w:rsid w:val="7ED01303"/>
    <w:rsid w:val="7EE90C9E"/>
    <w:rsid w:val="7EFBD522"/>
    <w:rsid w:val="7F727784"/>
    <w:rsid w:val="7F7F78EB"/>
    <w:rsid w:val="7F9E210D"/>
    <w:rsid w:val="7FB762E1"/>
    <w:rsid w:val="7FBBDB0D"/>
    <w:rsid w:val="7FC86DB2"/>
    <w:rsid w:val="7FF17429"/>
    <w:rsid w:val="7FF3183A"/>
    <w:rsid w:val="7FF74ACC"/>
    <w:rsid w:val="7FF7B333"/>
    <w:rsid w:val="7FFCD868"/>
    <w:rsid w:val="8DFF3FC4"/>
    <w:rsid w:val="937FC05F"/>
    <w:rsid w:val="9FDD2D9E"/>
    <w:rsid w:val="AB5510BE"/>
    <w:rsid w:val="ABFF4D8C"/>
    <w:rsid w:val="B36FE157"/>
    <w:rsid w:val="BDFF4963"/>
    <w:rsid w:val="BFFAB83A"/>
    <w:rsid w:val="BFFE1C3F"/>
    <w:rsid w:val="BFFFD2BF"/>
    <w:rsid w:val="CCFFFFF0"/>
    <w:rsid w:val="CFB3A4E6"/>
    <w:rsid w:val="D6BFFE11"/>
    <w:rsid w:val="D7D5016B"/>
    <w:rsid w:val="DC5D767D"/>
    <w:rsid w:val="DDFD8760"/>
    <w:rsid w:val="DF33EA25"/>
    <w:rsid w:val="DFF72CAE"/>
    <w:rsid w:val="E5FC98B3"/>
    <w:rsid w:val="E6FCFC73"/>
    <w:rsid w:val="EECDA7FB"/>
    <w:rsid w:val="F6BD4694"/>
    <w:rsid w:val="F777E863"/>
    <w:rsid w:val="F7ED7B3C"/>
    <w:rsid w:val="F7F458A1"/>
    <w:rsid w:val="F7FF735C"/>
    <w:rsid w:val="FAFD36D1"/>
    <w:rsid w:val="FBF4104C"/>
    <w:rsid w:val="FBF77CAD"/>
    <w:rsid w:val="FBFB99F8"/>
    <w:rsid w:val="FF4F258A"/>
    <w:rsid w:val="FF8FADCC"/>
    <w:rsid w:val="FFBC033A"/>
    <w:rsid w:val="FFCDE78B"/>
    <w:rsid w:val="FFF9CB68"/>
    <w:rsid w:val="FFFF4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Times New Roman" w:hAnsi="Times New Roman" w:eastAsia="仿宋_GB2312" w:cs="Times New Roman"/>
      <w:sz w:val="32"/>
      <w:szCs w:val="22"/>
      <w:lang w:val="en-US" w:eastAsia="zh-CN" w:bidi="ar-SA"/>
    </w:rPr>
  </w:style>
  <w:style w:type="paragraph" w:styleId="2">
    <w:name w:val="heading 2"/>
    <w:basedOn w:val="1"/>
    <w:next w:val="1"/>
    <w:link w:val="10"/>
    <w:unhideWhenUsed/>
    <w:qFormat/>
    <w:uiPriority w:val="0"/>
    <w:pPr>
      <w:spacing w:line="240" w:lineRule="auto"/>
      <w:ind w:firstLine="0" w:firstLineChars="0"/>
      <w:jc w:val="left"/>
      <w:outlineLvl w:val="1"/>
    </w:pPr>
    <w:rPr>
      <w:rFonts w:hint="eastAsia" w:ascii="宋体" w:hAnsi="宋体" w:eastAsia="华文楷体"/>
      <w:sz w:val="21"/>
      <w:szCs w:val="36"/>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qFormat/>
    <w:uiPriority w:val="0"/>
    <w:pPr>
      <w:spacing w:line="240" w:lineRule="auto"/>
    </w:pPr>
    <w:rPr>
      <w:sz w:val="18"/>
      <w:szCs w:val="18"/>
    </w:rPr>
  </w:style>
  <w:style w:type="paragraph" w:styleId="4">
    <w:name w:val="footer"/>
    <w:basedOn w:val="1"/>
    <w:link w:val="12"/>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character" w:customStyle="1" w:styleId="8">
    <w:name w:val="font21"/>
    <w:basedOn w:val="7"/>
    <w:qFormat/>
    <w:uiPriority w:val="0"/>
    <w:rPr>
      <w:rFonts w:hint="eastAsia" w:ascii="宋体" w:hAnsi="宋体" w:eastAsia="宋体" w:cs="宋体"/>
      <w:color w:val="000000"/>
      <w:sz w:val="16"/>
      <w:szCs w:val="16"/>
      <w:u w:val="none"/>
    </w:rPr>
  </w:style>
  <w:style w:type="character" w:customStyle="1" w:styleId="9">
    <w:name w:val="font01"/>
    <w:basedOn w:val="7"/>
    <w:qFormat/>
    <w:uiPriority w:val="0"/>
    <w:rPr>
      <w:rFonts w:ascii="黑体" w:hAnsi="宋体" w:eastAsia="黑体" w:cs="黑体"/>
      <w:b/>
      <w:color w:val="000000"/>
      <w:sz w:val="28"/>
      <w:szCs w:val="28"/>
      <w:u w:val="none"/>
    </w:rPr>
  </w:style>
  <w:style w:type="character" w:customStyle="1" w:styleId="10">
    <w:name w:val="标题 2 字符"/>
    <w:basedOn w:val="7"/>
    <w:link w:val="2"/>
    <w:qFormat/>
    <w:uiPriority w:val="0"/>
    <w:rPr>
      <w:rFonts w:ascii="宋体" w:hAnsi="宋体" w:eastAsia="华文楷体"/>
      <w:sz w:val="21"/>
      <w:szCs w:val="36"/>
    </w:rPr>
  </w:style>
  <w:style w:type="character" w:customStyle="1" w:styleId="11">
    <w:name w:val="批注框文本 字符"/>
    <w:basedOn w:val="7"/>
    <w:link w:val="3"/>
    <w:qFormat/>
    <w:uiPriority w:val="0"/>
    <w:rPr>
      <w:rFonts w:ascii="Times New Roman" w:hAnsi="Times New Roman" w:eastAsia="仿宋_GB2312"/>
      <w:sz w:val="18"/>
      <w:szCs w:val="18"/>
    </w:rPr>
  </w:style>
  <w:style w:type="character" w:customStyle="1" w:styleId="12">
    <w:name w:val="页脚 字符"/>
    <w:basedOn w:val="7"/>
    <w:link w:val="4"/>
    <w:qFormat/>
    <w:uiPriority w:val="99"/>
    <w:rPr>
      <w:rFonts w:ascii="Times New Roman" w:hAnsi="Times New Roman" w:eastAsia="仿宋_GB2312"/>
      <w:sz w:val="18"/>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23</Pages>
  <Words>2829</Words>
  <Characters>16130</Characters>
  <Lines>134</Lines>
  <Paragraphs>37</Paragraphs>
  <TotalTime>3</TotalTime>
  <ScaleCrop>false</ScaleCrop>
  <LinksUpToDate>false</LinksUpToDate>
  <CharactersWithSpaces>18922</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2023-02-12T10:24:00Z</dcterms:created>
  <dc:creator>openxml-sdk</dc:creator>
  <dc:description>openxml-sdk, CCi Textin Word Converter, JL</dc:description>
  <cp:keywords>CCi</cp:keywords>
  <cp:lastModifiedBy>资管处</cp:lastModifiedBy>
  <cp:lastPrinted>2023-02-12T11:35:00Z</cp:lastPrinted>
  <dcterms:modified xsi:type="dcterms:W3CDTF">2023-08-29T14:29:07Z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