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天津市科学技术局</w:t>
      </w: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2023年度部门决算</w:t>
      </w: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   录</w:t>
      </w:r>
    </w:p>
    <w:p>
      <w:pPr>
        <w:autoSpaceDE w:val="0"/>
        <w:autoSpaceDN w:val="0"/>
        <w:adjustRightInd w:val="0"/>
        <w:spacing w:line="600" w:lineRule="exact"/>
        <w:jc w:val="left"/>
        <w:rPr>
          <w:rFonts w:ascii="Times New Roman" w:hAnsi="Times New Roman" w:eastAsia="黑体" w:cs="黑体"/>
          <w:kern w:val="0"/>
          <w:sz w:val="30"/>
          <w:szCs w:val="30"/>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  概 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  2023年度部门决算表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  2023年度部门决算情况说明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lang w:val="en"/>
        </w:rPr>
      </w:pPr>
      <w:r>
        <w:rPr>
          <w:rFonts w:hint="eastAsia" w:ascii="Times New Roman" w:hAnsi="Times New Roman" w:eastAsia="仿宋_GB2312" w:cs="仿宋_GB2312"/>
          <w:kern w:val="0"/>
          <w:sz w:val="30"/>
          <w:szCs w:val="30"/>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lang w:val="en"/>
        </w:rPr>
      </w:pPr>
      <w:r>
        <w:rPr>
          <w:rFonts w:hint="eastAsia" w:ascii="Times New Roman" w:hAnsi="Times New Roman" w:eastAsia="方正小标宋简体" w:cs="方正小标宋简体"/>
          <w:kern w:val="0"/>
          <w:sz w:val="30"/>
          <w:szCs w:val="30"/>
          <w:lang w:val="en"/>
        </w:rPr>
        <w:t>第四部分</w:t>
      </w:r>
      <w:r>
        <w:rPr>
          <w:rFonts w:hint="eastAsia" w:ascii="Times New Roman" w:hAnsi="Times New Roman" w:eastAsia="方正小标宋简体" w:cs="方正小标宋简体"/>
          <w:kern w:val="0"/>
          <w:sz w:val="30"/>
          <w:szCs w:val="30"/>
        </w:rPr>
        <w:t xml:space="preserve">  </w:t>
      </w:r>
      <w:r>
        <w:rPr>
          <w:rFonts w:hint="eastAsia" w:ascii="Times New Roman" w:hAnsi="Times New Roman" w:eastAsia="方正小标宋简体" w:cs="方正小标宋简体"/>
          <w:kern w:val="0"/>
          <w:sz w:val="30"/>
          <w:szCs w:val="30"/>
          <w:lang w:val="en"/>
        </w:rPr>
        <w:t>名词解释</w:t>
      </w:r>
    </w:p>
    <w:p>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  概 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1.贯彻执行科技创新工作的法律、法规，研究起草有关地方性法规、政府规章草案和政策文件等，并组织实施。</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2.坚持创新驱动发展战略方针，拟订科技发展、引进国外智力规划和政策并组织实施。研究确定科技发展布局和优先发展领域，支撑现代化经济体系建设。</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3.统筹推进创新体系建设和科技体制改革，会同有关部门健全技术创新激励机制。优化科研体系建设，指导科研机构改革发展，推动企业科技创新能力建设。承担推进科技发展相关工作。负责国防科技信息动员工作。推进重大科技决策咨询制度建设。</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4.会同有关部门提出优化配置科技资源的政策措施建议。推动多元化科技投入体系建设，负责相关科技经费预决算及使用的监督管理，协调管理市级财政科技计划（专项、基金等）并监督实施。推动科技型企业发展。会同有关部门推进科技金融投融资体系建设，推动科技型企业融资工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5.拟订基础研究规划、政策和标准并组织实施。组织协调基础研究和应用基础研究。推动科研保障建设和科技资源共享。</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6.编制重大科技项目规划并监督实施，统筹关键共性技术、前沿引领技术、现代工程技术、颠覆性技术研发和创新，牵头组织重大技术攻关和成果应用示范。</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7.组织拟订高新技术发展及产业化、科技促进农业农村和社会发展的规划、政策和措施。促进以改善民生为重点的农村建设和社会建设，指导可持续发展实验区建设。组织开展重点领域技术发展需求分析，提出重大任务并监督实施。</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8.牵头技术转移体系建设，拟订科技成果转移转化和促进产学研结合的相关政策措施并监督实施。推动科技服务业、技术市场和科技中介组织发展。推动生物医药产业发展和企业自主创新能力建设。</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9.统筹科技创新体系建设，指导区域创新发展、科技资源合理布局和协同创新能力建设，推动科技园区建设。承担天津国家自主创新示范区建设有关工作。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10.负责科技监督评价体系建设和相关科技评估管理，指导科技评价机制改革，统筹科研诚信建设。负责科技统计工作。组织实施创新调查和科技报告制度。负责科技保密工作。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11.拟订科技对外交往与创新能力开放合作的规划、政策和措施，组织开展国际科技合作与科技人才交流。指导相关部门和各区对外科技合作与科技人才交流工作。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12.负责引进国外智力工作。拟订重点引进外国专家总体规划、计划并组织实施，建立外国高端科学家、团队吸引集聚机制和重点外国专家联系服务机制。拟订出国（境）培训政策和年度计划并监督实施。</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13.会同有关部门拟订科技人才队伍建设规划和政策，建立健全科技人才评价和激励机制，组织实施科技人才计划，推动高端科技创新人才队伍建设。拟订科学普及和科学传播规划、政策。</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14.负责本市科学技术奖励评审组织工作。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15.指导协调各区科技工作。做好中央在津科研机构有关业务工作的协调、服务。</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16.统筹负责天开高教科创园区发展建设工作。落实建设科技创新策源地、科研成果孵化器、</w:t>
      </w:r>
      <w:r>
        <w:rPr>
          <w:rFonts w:hint="eastAsia" w:ascii="Times New Roman" w:hAnsi="Times New Roman" w:eastAsia="仿宋_GB2312" w:cs="仿宋_GB2312"/>
          <w:sz w:val="30"/>
          <w:szCs w:val="30"/>
          <w:lang w:eastAsia="zh-CN"/>
        </w:rPr>
        <w:t>科创服务生态圈</w:t>
      </w:r>
      <w:r>
        <w:rPr>
          <w:rFonts w:hint="eastAsia" w:ascii="Times New Roman" w:hAnsi="Times New Roman" w:eastAsia="仿宋_GB2312" w:cs="仿宋_GB2312"/>
          <w:sz w:val="30"/>
          <w:szCs w:val="30"/>
        </w:rPr>
        <w:t>要求，组织拟订天开高教科创园区总体发展战略、发展规划、产业规划、政策措施等，并协调落实。加强与相关区沟通，统筹协调各区域发展。</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17.参与编制天开高教科创园区有关空间规划，统筹生产生活生态空间，优化空间布局和基础设施建设。管理天开高教科创园专项发展资金。依据市政府授权，履行所监管企业出资人职责，依法对所监管企业国有资产进行监督管理。统筹推进天开高教科创园区人才工作。开展天开高教科创园区发展考核评价工作。开展天开高教科创园区运行综合统计工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18.开展天开高教科创园区创新创业、科研攻关、高新技术研发及其成果产业化等方面的促进和服务工作，坚持产教融合、科教融汇，培育战略性新兴产业、未来产业。协调市、区相关部门单位，整合天开高教科创园区政务服务资源，优化营商环境。</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19.开展天开高教科创园区招商引资、招才引智等工作</w:t>
      </w:r>
      <w:r>
        <w:rPr>
          <w:rFonts w:hint="eastAsia" w:ascii="Times New Roman" w:hAnsi="Times New Roman" w:eastAsia="仿宋_GB2312" w:cs="仿宋_GB2312"/>
          <w:sz w:val="30"/>
          <w:szCs w:val="30"/>
          <w:lang w:eastAsia="zh-CN"/>
        </w:rPr>
        <w:t>，</w:t>
      </w:r>
      <w:bookmarkStart w:id="0" w:name="_GoBack"/>
      <w:bookmarkEnd w:id="0"/>
      <w:r>
        <w:rPr>
          <w:rFonts w:hint="eastAsia" w:ascii="Times New Roman" w:hAnsi="Times New Roman" w:eastAsia="仿宋_GB2312" w:cs="仿宋_GB2312"/>
          <w:sz w:val="30"/>
          <w:szCs w:val="30"/>
        </w:rPr>
        <w:t>促进重要政策和重大项目、创新机构、高新企业等引进。组织开展天开高教科创园区国际交流与合作，推进国际技术转移。加强天开高教科创园区国内合作交流，促进天开高教科创园区高校资源利用。负责天开高教科创园区宣传、联络等工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20.承担本领域安全生产管理责任。</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21.组织推动科技领域招商引资工作。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22.完成市委、市政府交办的其他事项。</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23.职能转变。围绕贯彻实施科教兴国战略、人才强国战略、创新驱动发展战略，加强、优化、转变政府科技管理和服务职能，完善科技创新制度和组织体系，加强宏观管理和统筹协调，减少微观管理和具体审批事项，加强事中事后监管和科研诚信建设。从研发管理向创新服务转变，深入推进科技计划管理改革。政府部门不直接管理具体科研项目，委托项目管理专业机构开展项目受理、评审、立项、过程管理、验收等具体工作。进一步改进科技人才评价机制，建立健全以创新能力、质量、贡献、绩效为导向的科技人才评价体系和激励政策，统筹科技人才队伍建设和引进国外智力工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24.有关职责分工。与市人力资源和社会保障局在外国人来津工作许可方面的职责分工。来华工作A类人员来津工作政策由市科学技术局会同市人力资源和社会保障局制定，B类和C类人员来津工作政策由市人力资源和社会保障局会同市科学技术局制定。市科学技术局会同市人力资源和社会保障局组织实施外国人来津工作许可。</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天津市科学技术局内设24个职能处室；下辖31个预算单位。纳入天津市科学技术局2023年度部门决算编制范围的单位包括：</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1.天津市科学技术局(本级)</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2.天津市科学技术信息研究所</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3.天津市科学技术发展战略研究院</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4.天津医学健康研究院</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5.天津渤海化工集团有限责任公司劳动卫生研究所</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6.天津市公用事业设计研究所</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7.天津市生态环境科学研究院</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8.天津市科技创新发展中心</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9.天津市制造业信息化生产力促进中心</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10.天津市半导体技术研究所有限公司</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11.天津市技术物理研究所</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12.天津市激光技术研究所</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13.天津实验动物中心</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14.天津市机械设计研究院有限公司</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15.天津市机械研究所有限公司</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16.天津市热处理研究所有限公司</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17.天津市焊接研究所有限公司</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18.天津市电子计算机研究所有限公司</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19.天津市轻工业化学研究所有限公司</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20.天津市硅酸盐研究所有限公司</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21.天津市硬质合金研究所有限公司</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22.天津市工业微生物研究所有限公司</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23.天津市交通集团科学技术发展有限公司</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24.天津市建筑材料科学研究院有限公司</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25.天津市食品研究所有限公司</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26.天津利达设计院有限公司</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27.天津市机电工业科技信息研究所有限公司</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28.天津市电子仪表信息研究所有限公司</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29.天津市化工科技信息研究所</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30.天津市冶金科技信息研究所</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31.天津市一轻科技信息研究所有限公司</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32.天津药物研究院有限公司</w:t>
      </w:r>
    </w:p>
    <w:p>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  2023年度部门决算表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b/>
          <w:bCs/>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黑体" w:cs="黑体"/>
          <w:kern w:val="0"/>
          <w:sz w:val="30"/>
          <w:szCs w:val="30"/>
        </w:rPr>
        <w:t>十二、关于空表的说明</w:t>
      </w:r>
    </w:p>
    <w:p>
      <w:pPr>
        <w:autoSpaceDE w:val="0"/>
        <w:autoSpaceDN w:val="0"/>
        <w:adjustRightInd w:val="0"/>
        <w:spacing w:line="600" w:lineRule="exact"/>
        <w:ind w:firstLine="601"/>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1.天津市科学技术局2023年度政府性基金预算财政拨款收入支出决算表为空表。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2.天津市科学技术局2023年度国有资本经营预算财政拨款收入支出决算表为空表。</w:t>
      </w:r>
    </w:p>
    <w:p>
      <w:pPr>
        <w:widowControl/>
        <w:jc w:val="left"/>
        <w:rPr>
          <w:rFonts w:ascii="Times New Roman" w:hAnsi="Times New Roman" w:eastAsia="仿宋_GB2312" w:cs="仿宋_GB2312"/>
          <w:sz w:val="30"/>
          <w:szCs w:val="30"/>
        </w:rPr>
      </w:pPr>
      <w:r>
        <w:rPr>
          <w:rFonts w:ascii="Times New Roman" w:hAnsi="Times New Roman" w:eastAsia="仿宋_GB2312" w:cs="仿宋_GB2312"/>
          <w:sz w:val="30"/>
          <w:szCs w:val="30"/>
        </w:rPr>
        <w:br w:type="page"/>
      </w: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  2023年度部门决算情况说明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lang w:val="zh-CN"/>
        </w:rPr>
        <w:t>天津市科学技术局2023年度收入、支出决算总计</w:t>
      </w:r>
      <w:r>
        <w:rPr>
          <w:rFonts w:hint="eastAsia" w:ascii="Times New Roman" w:hAnsi="Times New Roman" w:eastAsia="仿宋_GB2312" w:cs="仿宋_GB2312"/>
          <w:sz w:val="30"/>
          <w:szCs w:val="30"/>
        </w:rPr>
        <w:t>1,611,927,796.62元，与2022年度相比，收、支总计各增加536,232,451.43元，增长49.85%，</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：2</w:t>
      </w:r>
      <w:r>
        <w:rPr>
          <w:rFonts w:ascii="Times New Roman" w:hAnsi="Times New Roman" w:eastAsia="仿宋_GB2312" w:cs="仿宋_GB2312"/>
          <w:sz w:val="30"/>
          <w:szCs w:val="30"/>
        </w:rPr>
        <w:t>023</w:t>
      </w:r>
      <w:r>
        <w:rPr>
          <w:rFonts w:hint="eastAsia" w:ascii="Times New Roman" w:hAnsi="Times New Roman" w:eastAsia="仿宋_GB2312" w:cs="仿宋_GB2312"/>
          <w:sz w:val="30"/>
          <w:szCs w:val="30"/>
        </w:rPr>
        <w:t>年</w:t>
      </w:r>
      <w:r>
        <w:rPr>
          <w:rFonts w:ascii="Times New Roman" w:hAnsi="Times New Roman" w:eastAsia="仿宋_GB2312" w:cs="仿宋_GB2312"/>
          <w:sz w:val="30"/>
          <w:szCs w:val="30"/>
        </w:rPr>
        <w:t>项目收支增加</w:t>
      </w:r>
      <w:r>
        <w:rPr>
          <w:rFonts w:hint="eastAsia" w:ascii="Times New Roman" w:hAnsi="Times New Roman" w:eastAsia="仿宋_GB2312" w:cs="仿宋_GB2312"/>
          <w:sz w:val="30"/>
          <w:szCs w:val="30"/>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天津市科学技术局</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1,445,988,394.59</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年度相比增加450,195,369.80元，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w:t>
      </w:r>
      <w:r>
        <w:rPr>
          <w:rFonts w:hint="eastAsia" w:ascii="Times New Roman" w:hAnsi="Times New Roman" w:eastAsia="仿宋_GB2312" w:cs="仿宋_GB2312"/>
          <w:sz w:val="30"/>
          <w:szCs w:val="30"/>
        </w:rPr>
        <w:t>2</w:t>
      </w:r>
      <w:r>
        <w:rPr>
          <w:rFonts w:ascii="Times New Roman" w:hAnsi="Times New Roman" w:eastAsia="仿宋_GB2312" w:cs="仿宋_GB2312"/>
          <w:sz w:val="30"/>
          <w:szCs w:val="30"/>
        </w:rPr>
        <w:t>023</w:t>
      </w:r>
      <w:r>
        <w:rPr>
          <w:rFonts w:hint="eastAsia" w:ascii="Times New Roman" w:hAnsi="Times New Roman" w:eastAsia="仿宋_GB2312" w:cs="仿宋_GB2312"/>
          <w:sz w:val="30"/>
          <w:szCs w:val="30"/>
        </w:rPr>
        <w:t>年</w:t>
      </w:r>
      <w:r>
        <w:rPr>
          <w:rFonts w:ascii="Times New Roman" w:hAnsi="Times New Roman" w:eastAsia="仿宋_GB2312" w:cs="仿宋_GB2312"/>
          <w:sz w:val="30"/>
          <w:szCs w:val="30"/>
        </w:rPr>
        <w:t>项目</w:t>
      </w:r>
      <w:r>
        <w:rPr>
          <w:rFonts w:hint="eastAsia" w:ascii="Times New Roman" w:hAnsi="Times New Roman" w:eastAsia="仿宋_GB2312" w:cs="仿宋_GB2312"/>
          <w:sz w:val="30"/>
          <w:szCs w:val="30"/>
        </w:rPr>
        <w:t>收入</w:t>
      </w:r>
      <w:r>
        <w:rPr>
          <w:rFonts w:ascii="Times New Roman" w:hAnsi="Times New Roman" w:eastAsia="仿宋_GB2312" w:cs="仿宋_GB2312"/>
          <w:sz w:val="30"/>
          <w:szCs w:val="30"/>
        </w:rPr>
        <w:t>增加</w:t>
      </w:r>
      <w:r>
        <w:rPr>
          <w:rFonts w:hint="eastAsia" w:ascii="Times New Roman" w:hAnsi="Times New Roman" w:eastAsia="仿宋_GB2312" w:cs="仿宋_GB2312"/>
          <w:sz w:val="30"/>
          <w:szCs w:val="30"/>
        </w:rPr>
        <w:t>。</w:t>
      </w:r>
    </w:p>
    <w:p>
      <w:pPr>
        <w:autoSpaceDE w:val="0"/>
        <w:autoSpaceDN w:val="0"/>
        <w:adjustRightInd w:val="0"/>
        <w:spacing w:line="600" w:lineRule="exact"/>
        <w:ind w:firstLine="600"/>
        <w:jc w:val="left"/>
        <w:rPr>
          <w:rFonts w:ascii="Times New Roman" w:hAnsi="Times New Roman" w:eastAsia="宋体" w:cs="Times New Roman"/>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1,104,715,366.91</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76.40</w:t>
      </w:r>
      <w:r>
        <w:rPr>
          <w:rFonts w:hint="eastAsia" w:ascii="Times New Roman" w:hAnsi="Times New Roman" w:eastAsia="宋体" w:cs="Times New Roman"/>
          <w:sz w:val="30"/>
          <w:szCs w:val="30"/>
        </w:rPr>
        <w:t>%；</w:t>
      </w:r>
    </w:p>
    <w:p>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事业收入</w:t>
      </w:r>
      <w:r>
        <w:rPr>
          <w:rFonts w:hint="eastAsia" w:ascii="Times New Roman" w:hAnsi="Times New Roman" w:eastAsia="仿宋_GB2312" w:cs="仿宋_GB2312"/>
          <w:sz w:val="30"/>
          <w:szCs w:val="30"/>
          <w:lang w:val="zh-CN"/>
        </w:rPr>
        <w:t>194,785,740.23元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13.47%；</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lang w:val="zh-CN"/>
        </w:rPr>
        <w:t>其他收入</w:t>
      </w:r>
      <w:r>
        <w:rPr>
          <w:rFonts w:hint="eastAsia" w:ascii="Times New Roman" w:hAnsi="Times New Roman" w:eastAsia="仿宋_GB2312" w:cs="仿宋_GB2312"/>
          <w:sz w:val="30"/>
          <w:szCs w:val="30"/>
          <w:lang w:val="zh-CN"/>
        </w:rPr>
        <w:t>146,487,287.45元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10.13%。</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天津市科学技术局</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年度本年支出合计1,468,478,327.51元，与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年度相比增加413,162,823.76元，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预算执行过程中追加项目支出。</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376,065,365.32元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占25.61%；</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项目支出</w:t>
      </w:r>
      <w:r>
        <w:rPr>
          <w:rFonts w:hint="eastAsia" w:ascii="Times New Roman" w:hAnsi="Times New Roman" w:eastAsia="仿宋_GB2312" w:cs="仿宋_GB2312"/>
          <w:sz w:val="30"/>
          <w:szCs w:val="30"/>
        </w:rPr>
        <w:t>1,092,412,962.19元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占74.39%。</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天津市科学技术局</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1,128,648,473.68</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年度相比，财政拨款收、支总计各增加479,084,991.55元，增长73.75</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项目支出增加。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天津市科学技术局2023年度部门决算一般公共预算财政拨款支出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计1,127,683,843.68元，占本年支出合计的76.79%，与2022年度相比，一般公共预算财政拨款支出增加478,127,968.32元，增长73.61%，</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：项目支出增加。</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1,127,683,843.68</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科学技术支出1</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052</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559</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557.35元，占93.34%；社会保障和就业支出1</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8421</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400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元，占1.63%；卫生健康支出8</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362</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886.33元，占0.74%；债务付息支出48</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340</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元，占4.29%。</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301,106,000.00</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1,127,683,843.68</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374.51%</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sz w:val="30"/>
          <w:szCs w:val="30"/>
        </w:rPr>
        <w:t>1. 科学技术支出（类）科学技术管理事务（款）行政运行（项）年初预算为43</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413</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元，支出决算为48</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334</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523.41元，完成年初预算的111.34%，决算数大于年初预算数的主要原因是新</w:t>
      </w:r>
      <w:r>
        <w:rPr>
          <w:rFonts w:ascii="Times New Roman" w:hAnsi="Times New Roman" w:eastAsia="仿宋_GB2312" w:cs="仿宋_GB2312"/>
          <w:sz w:val="30"/>
          <w:szCs w:val="30"/>
        </w:rPr>
        <w:t>增</w:t>
      </w:r>
      <w:r>
        <w:rPr>
          <w:rFonts w:hint="eastAsia" w:ascii="Times New Roman" w:hAnsi="Times New Roman" w:eastAsia="仿宋_GB2312" w:cs="仿宋_GB2312"/>
          <w:sz w:val="30"/>
          <w:szCs w:val="30"/>
        </w:rPr>
        <w:t>人员增加</w:t>
      </w:r>
      <w:r>
        <w:rPr>
          <w:rFonts w:ascii="Times New Roman" w:hAnsi="Times New Roman" w:eastAsia="仿宋_GB2312" w:cs="仿宋_GB2312"/>
          <w:sz w:val="30"/>
          <w:szCs w:val="30"/>
        </w:rPr>
        <w:t>人员经费</w:t>
      </w:r>
      <w:r>
        <w:rPr>
          <w:rFonts w:hint="eastAsia" w:ascii="Times New Roman" w:hAnsi="Times New Roman" w:eastAsia="仿宋_GB2312" w:cs="仿宋_GB2312"/>
          <w:sz w:val="30"/>
          <w:szCs w:val="30"/>
        </w:rPr>
        <w:t>和</w:t>
      </w:r>
      <w:r>
        <w:rPr>
          <w:rFonts w:ascii="Times New Roman" w:hAnsi="Times New Roman" w:eastAsia="仿宋_GB2312" w:cs="仿宋_GB2312"/>
          <w:sz w:val="30"/>
          <w:szCs w:val="30"/>
        </w:rPr>
        <w:t>公用经费</w:t>
      </w:r>
      <w:r>
        <w:rPr>
          <w:rFonts w:hint="eastAsia" w:ascii="Times New Roman" w:hAnsi="Times New Roman" w:eastAsia="仿宋_GB2312" w:cs="仿宋_GB2312"/>
          <w:sz w:val="30"/>
          <w:szCs w:val="30"/>
        </w:rPr>
        <w:t>支出。</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2.科学技术支出（类）科学技术管理事务（款）其他科学技术管理事务支出（项）年初预算为1</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440</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元，支出决算为1</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440</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元，完成年初预算的100%，决算数等于年初预算数的主要原因是严格</w:t>
      </w:r>
      <w:r>
        <w:rPr>
          <w:rFonts w:ascii="Times New Roman" w:hAnsi="Times New Roman" w:eastAsia="仿宋_GB2312" w:cs="仿宋_GB2312"/>
          <w:sz w:val="30"/>
          <w:szCs w:val="30"/>
        </w:rPr>
        <w:t>按</w:t>
      </w:r>
      <w:r>
        <w:rPr>
          <w:rFonts w:hint="eastAsia" w:ascii="Times New Roman" w:hAnsi="Times New Roman" w:eastAsia="仿宋_GB2312" w:cs="仿宋_GB2312"/>
          <w:sz w:val="30"/>
          <w:szCs w:val="30"/>
        </w:rPr>
        <w:t>预算</w:t>
      </w:r>
      <w:r>
        <w:rPr>
          <w:rFonts w:ascii="Times New Roman" w:hAnsi="Times New Roman" w:eastAsia="仿宋_GB2312" w:cs="仿宋_GB2312"/>
          <w:sz w:val="30"/>
          <w:szCs w:val="30"/>
        </w:rPr>
        <w:t>执行支出</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3. 科学技术支出（类）基础研究（款）自然科学基金（项）年初预算为0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元，追加预算31</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778</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244.29元，支出决算为31</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778</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244.29元，完成追加预算的100%，决算数等于追加预算数的主要原因新增项目</w:t>
      </w:r>
      <w:r>
        <w:rPr>
          <w:rFonts w:ascii="Times New Roman" w:hAnsi="Times New Roman" w:eastAsia="仿宋_GB2312" w:cs="仿宋_GB2312"/>
          <w:sz w:val="30"/>
          <w:szCs w:val="30"/>
        </w:rPr>
        <w:t>支出</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4.科学技术支出（类）基础研究（款）专项基础科研（项）年初预算为0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元，追加预算10</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659</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999</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元，支出决算为10</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659</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999</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元，完成追加预算的100%，决算数等于追加预算数的主要原因新增项目</w:t>
      </w:r>
      <w:r>
        <w:rPr>
          <w:rFonts w:ascii="Times New Roman" w:hAnsi="Times New Roman" w:eastAsia="仿宋_GB2312" w:cs="仿宋_GB2312"/>
          <w:sz w:val="30"/>
          <w:szCs w:val="30"/>
        </w:rPr>
        <w:t>支出</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5.科学技术支出（类）基础研究（款）科技人才队伍建设（项）年初预算为0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元，追加预算2</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元，支出决算为2</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元，完成追加预算的100%，决算数等于追加预算数的主要原因新增项目</w:t>
      </w:r>
      <w:r>
        <w:rPr>
          <w:rFonts w:ascii="Times New Roman" w:hAnsi="Times New Roman" w:eastAsia="仿宋_GB2312" w:cs="仿宋_GB2312"/>
          <w:sz w:val="30"/>
          <w:szCs w:val="30"/>
        </w:rPr>
        <w:t>支出</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6.科学技术支出（类）基础研究（款）其他基础研究支出（项）年初预算为0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元，使用上年结转预算8</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560</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元，支出决算为8</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560</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元，完成上年结转预算的100%，决算数等于上年结转预算数的主要原因用于项目</w:t>
      </w:r>
      <w:r>
        <w:rPr>
          <w:rFonts w:ascii="Times New Roman" w:hAnsi="Times New Roman" w:eastAsia="仿宋_GB2312" w:cs="仿宋_GB2312"/>
          <w:sz w:val="30"/>
          <w:szCs w:val="30"/>
        </w:rPr>
        <w:t>支出</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7.科学技术支出（类）应用研究（款）机构运行（项）年初预算为82</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269</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w:t>
      </w:r>
      <w:r>
        <w:rPr>
          <w:rFonts w:ascii="Times New Roman" w:hAnsi="Times New Roman" w:eastAsia="仿宋_GB2312" w:cs="仿宋_GB2312"/>
          <w:sz w:val="30"/>
          <w:szCs w:val="30"/>
        </w:rPr>
        <w:t>86,260,282.48</w:t>
      </w:r>
      <w:r>
        <w:rPr>
          <w:rFonts w:hint="eastAsia" w:ascii="Times New Roman" w:hAnsi="Times New Roman" w:eastAsia="仿宋_GB2312" w:cs="仿宋_GB2312"/>
          <w:sz w:val="30"/>
          <w:szCs w:val="30"/>
        </w:rPr>
        <w:t>元，完成年初预算的</w:t>
      </w:r>
      <w:r>
        <w:rPr>
          <w:rFonts w:ascii="Times New Roman" w:hAnsi="Times New Roman" w:eastAsia="仿宋_GB2312" w:cs="仿宋_GB2312"/>
          <w:sz w:val="30"/>
          <w:szCs w:val="30"/>
        </w:rPr>
        <w:t>104.85</w:t>
      </w:r>
      <w:r>
        <w:rPr>
          <w:rFonts w:hint="eastAsia" w:ascii="Times New Roman" w:hAnsi="Times New Roman" w:eastAsia="仿宋_GB2312" w:cs="仿宋_GB2312"/>
          <w:sz w:val="30"/>
          <w:szCs w:val="30"/>
        </w:rPr>
        <w:t>%，决算数大于年初预算数的主要原因是预算执行中追加项目</w:t>
      </w:r>
      <w:r>
        <w:rPr>
          <w:rFonts w:ascii="Times New Roman" w:hAnsi="Times New Roman" w:eastAsia="仿宋_GB2312" w:cs="仿宋_GB2312"/>
          <w:sz w:val="30"/>
          <w:szCs w:val="30"/>
        </w:rPr>
        <w:t>支出</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8.科学技术支出（类）应用研究（款）机构运行（项）年初预算为0元，支出决算为10</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089</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元，追加预算10</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089</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元，完成追加预算的100%，决算数等于追加预算数的主要原因新</w:t>
      </w:r>
      <w:r>
        <w:rPr>
          <w:rFonts w:ascii="Times New Roman" w:hAnsi="Times New Roman" w:eastAsia="仿宋_GB2312" w:cs="仿宋_GB2312"/>
          <w:sz w:val="30"/>
          <w:szCs w:val="30"/>
        </w:rPr>
        <w:t>增</w:t>
      </w:r>
      <w:r>
        <w:rPr>
          <w:rFonts w:hint="eastAsia" w:ascii="Times New Roman" w:hAnsi="Times New Roman" w:eastAsia="仿宋_GB2312" w:cs="仿宋_GB2312"/>
          <w:sz w:val="30"/>
          <w:szCs w:val="30"/>
        </w:rPr>
        <w:t>人员增加</w:t>
      </w:r>
      <w:r>
        <w:rPr>
          <w:rFonts w:ascii="Times New Roman" w:hAnsi="Times New Roman" w:eastAsia="仿宋_GB2312" w:cs="仿宋_GB2312"/>
          <w:sz w:val="30"/>
          <w:szCs w:val="30"/>
        </w:rPr>
        <w:t>支出</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9.科学技术支出（类）应用研究（款）高技术研究（项）年初预算为0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元，支出决算为300</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元，追加预算300</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元，完成追加预算的100%，决算数等于追加预算数的主要原因新增项目</w:t>
      </w:r>
      <w:r>
        <w:rPr>
          <w:rFonts w:ascii="Times New Roman" w:hAnsi="Times New Roman" w:eastAsia="仿宋_GB2312" w:cs="仿宋_GB2312"/>
          <w:sz w:val="30"/>
          <w:szCs w:val="30"/>
        </w:rPr>
        <w:t>支出</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10.科学技术支出（类）技术研究与开发（款）科技成果转化与扩散（项）年初预算为0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元，支出决算为5</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819</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200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元，追加预算5</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819</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200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元，完成追加预算的100%，决算数等于追加预算数的主要原因新增项目</w:t>
      </w:r>
      <w:r>
        <w:rPr>
          <w:rFonts w:ascii="Times New Roman" w:hAnsi="Times New Roman" w:eastAsia="仿宋_GB2312" w:cs="仿宋_GB2312"/>
          <w:sz w:val="30"/>
          <w:szCs w:val="30"/>
        </w:rPr>
        <w:t>支出</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11.科学技术支出（类）技术研究与开发（款）其他技术研究与开发支出（项）年初预算为0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元，支出决算为396</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778</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210.49元，追加预算396</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778</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210.49元，完成追加预算的100%，决算数等于追加预算数的主要原因新增项目</w:t>
      </w:r>
      <w:r>
        <w:rPr>
          <w:rFonts w:ascii="Times New Roman" w:hAnsi="Times New Roman" w:eastAsia="仿宋_GB2312" w:cs="仿宋_GB2312"/>
          <w:sz w:val="30"/>
          <w:szCs w:val="30"/>
        </w:rPr>
        <w:t>支出</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12.科学技术支出（类）科技条件与服务（款）科技条件专项（项）年初预算为0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元，支出决算为2</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800</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元，追加预算2</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800</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元，完成追加预算的100%，决算数等于追加预算数的主要原因新增项目</w:t>
      </w:r>
      <w:r>
        <w:rPr>
          <w:rFonts w:ascii="Times New Roman" w:hAnsi="Times New Roman" w:eastAsia="仿宋_GB2312" w:cs="仿宋_GB2312"/>
          <w:sz w:val="30"/>
          <w:szCs w:val="30"/>
        </w:rPr>
        <w:t>支出</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13.科学技术支出（类）科技条件与服务（款）其他科技条件与服务支出（项）年初预算为0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元，支出决算为6</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元，追加预算6</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元，完成追加预算的100%，决算数等于追加预算数的主要原因新增项目</w:t>
      </w:r>
      <w:r>
        <w:rPr>
          <w:rFonts w:ascii="Times New Roman" w:hAnsi="Times New Roman" w:eastAsia="仿宋_GB2312" w:cs="仿宋_GB2312"/>
          <w:sz w:val="30"/>
          <w:szCs w:val="30"/>
        </w:rPr>
        <w:t>支出</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14.科学技术支出（类）科学技术普及（款）其他科学技术普及支出（项）年初预算为5</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元，支出决算为4</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950</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元，完成年初预算的99%，决算数小于年初预算数的主要原因是部分项目未支出。</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15.科学技术支出（类）科技交流与合作（款）国际交流与合作（项）年初预算为700</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元，支出决算为518</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137.51元，完成年初预算的74.02%，决算数小于年初预算数的主要原因是部分项目未支出。</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16.科学技术支出（类）科技交流与合作（款）其他科技交流与合作支出（项）年初预算为0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元，追加预算1</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700</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元，支出决算为1</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700</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元，完成追加预算的100%，决算数等于追加预算数的主要原因是严格</w:t>
      </w:r>
      <w:r>
        <w:rPr>
          <w:rFonts w:ascii="Times New Roman" w:hAnsi="Times New Roman" w:eastAsia="仿宋_GB2312" w:cs="仿宋_GB2312"/>
          <w:sz w:val="30"/>
          <w:szCs w:val="30"/>
        </w:rPr>
        <w:t>按</w:t>
      </w:r>
      <w:r>
        <w:rPr>
          <w:rFonts w:hint="eastAsia" w:ascii="Times New Roman" w:hAnsi="Times New Roman" w:eastAsia="仿宋_GB2312" w:cs="仿宋_GB2312"/>
          <w:sz w:val="30"/>
          <w:szCs w:val="30"/>
        </w:rPr>
        <w:t>预算</w:t>
      </w:r>
      <w:r>
        <w:rPr>
          <w:rFonts w:ascii="Times New Roman" w:hAnsi="Times New Roman" w:eastAsia="仿宋_GB2312" w:cs="仿宋_GB2312"/>
          <w:sz w:val="30"/>
          <w:szCs w:val="30"/>
        </w:rPr>
        <w:t>执行支出</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17.科学技术支出（类）其他科学技术支出（款）科技奖励（项）年初预算为0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元，追加预算23</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606</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800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元，支出决算为23</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606</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800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元，完成追加预算的100%，决算数等于追加预算数的主要原因是严格</w:t>
      </w:r>
      <w:r>
        <w:rPr>
          <w:rFonts w:ascii="Times New Roman" w:hAnsi="Times New Roman" w:eastAsia="仿宋_GB2312" w:cs="仿宋_GB2312"/>
          <w:sz w:val="30"/>
          <w:szCs w:val="30"/>
        </w:rPr>
        <w:t>按</w:t>
      </w:r>
      <w:r>
        <w:rPr>
          <w:rFonts w:hint="eastAsia" w:ascii="Times New Roman" w:hAnsi="Times New Roman" w:eastAsia="仿宋_GB2312" w:cs="仿宋_GB2312"/>
          <w:sz w:val="30"/>
          <w:szCs w:val="30"/>
        </w:rPr>
        <w:t>预算</w:t>
      </w:r>
      <w:r>
        <w:rPr>
          <w:rFonts w:ascii="Times New Roman" w:hAnsi="Times New Roman" w:eastAsia="仿宋_GB2312" w:cs="仿宋_GB2312"/>
          <w:sz w:val="30"/>
          <w:szCs w:val="30"/>
        </w:rPr>
        <w:t>执行支出</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18.科学技术支出（类）其他科学技术支出（款）转制科研机构（项）年初预算为6</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807</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元，支出决算为6</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759</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元，完成年初预算的99.29%，决算数小于年初预算数的主要原因是核减部分转制科研院所离退休费预算。</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19.科学技术支出（类）其他科学技术支出（款）其他科学技术支出（项）年初预算为87</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030</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元，支出决算为404</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206</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160.17元，完成年初预算的464.44%，决算数大于年初预算数的主要原因是预算执行中追加项目支出。</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20.社会保障和就业支出（类）行政事业单位养老支出（款）机关事业单位基本养老保险缴费支出（项）年初预算为11</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747</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元，支出决算为12</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338</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100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元，完成年初预算的105.03%，决算数大于年初预算数的主要原因是预算执行中人员动态</w:t>
      </w:r>
      <w:r>
        <w:rPr>
          <w:rFonts w:ascii="Times New Roman" w:hAnsi="Times New Roman" w:eastAsia="仿宋_GB2312" w:cs="仿宋_GB2312"/>
          <w:sz w:val="30"/>
          <w:szCs w:val="30"/>
        </w:rPr>
        <w:t>调整</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21.社会保障和就业支出（类）行政事业单位养老支出（款）机关事业单位职业年金缴费支出（项）年初预算为5</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872</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元，支出决算为6</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083</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300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元，完成年初预算的103.6%，决算数大于年初预算数的主要原因是预算执行中人员动态</w:t>
      </w:r>
      <w:r>
        <w:rPr>
          <w:rFonts w:ascii="Times New Roman" w:hAnsi="Times New Roman" w:eastAsia="仿宋_GB2312" w:cs="仿宋_GB2312"/>
          <w:sz w:val="30"/>
          <w:szCs w:val="30"/>
        </w:rPr>
        <w:t>调整</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22.卫生健康支出（类）行政事业单位医疗（款）行政单位医疗（项）年初预算为2</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170</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元，支出决算为2</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234</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元，完成年初预算的102.95%，决算数大于年初预算数的主要原因是预算执行中人员动态</w:t>
      </w:r>
      <w:r>
        <w:rPr>
          <w:rFonts w:ascii="Times New Roman" w:hAnsi="Times New Roman" w:eastAsia="仿宋_GB2312" w:cs="仿宋_GB2312"/>
          <w:sz w:val="30"/>
          <w:szCs w:val="30"/>
        </w:rPr>
        <w:t>调整</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23.卫生健康支出（类）行政事业单位医疗（款）事业单位医疗（项）年初预算为4</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204</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元，支出决算为4</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213</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049.93元，完成年初预算的100.22%，决算数大于年初预算数的主要原因是预算执行中人员动态</w:t>
      </w:r>
      <w:r>
        <w:rPr>
          <w:rFonts w:ascii="Times New Roman" w:hAnsi="Times New Roman" w:eastAsia="仿宋_GB2312" w:cs="仿宋_GB2312"/>
          <w:sz w:val="30"/>
          <w:szCs w:val="30"/>
        </w:rPr>
        <w:t>调整</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24.卫生健康支出（类）行政事业单位医疗（款）公务员医疗补助（项）年初预算为413</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元，支出决算为468</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元，完成年初预算的113.32%，决算数大于年初预算数的主要原因是预算执行中人员动态</w:t>
      </w:r>
      <w:r>
        <w:rPr>
          <w:rFonts w:ascii="Times New Roman" w:hAnsi="Times New Roman" w:eastAsia="仿宋_GB2312" w:cs="仿宋_GB2312"/>
          <w:sz w:val="30"/>
          <w:szCs w:val="30"/>
        </w:rPr>
        <w:t>调整</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25.卫生健康支出（类）行政事业单位医疗（款）其他行政事业单位医疗支出（项）年初预算为1</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701</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元，支出决算为1</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447</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836.4</w:t>
      </w:r>
      <w:r>
        <w:rPr>
          <w:rFonts w:ascii="Times New Roman" w:hAnsi="Times New Roman" w:eastAsia="仿宋_GB2312" w:cs="仿宋_GB2312"/>
          <w:sz w:val="30"/>
          <w:szCs w:val="30"/>
        </w:rPr>
        <w:t>0</w:t>
      </w:r>
      <w:r>
        <w:rPr>
          <w:rFonts w:hint="eastAsia" w:ascii="Times New Roman" w:hAnsi="Times New Roman" w:eastAsia="仿宋_GB2312" w:cs="仿宋_GB2312"/>
          <w:sz w:val="30"/>
          <w:szCs w:val="30"/>
        </w:rPr>
        <w:t>元，完成年初预算的85.12%，决算数小于年初预算数的主要原因是严格按照</w:t>
      </w:r>
      <w:r>
        <w:rPr>
          <w:rFonts w:ascii="Times New Roman" w:hAnsi="Times New Roman" w:eastAsia="仿宋_GB2312" w:cs="仿宋_GB2312"/>
          <w:sz w:val="30"/>
          <w:szCs w:val="30"/>
        </w:rPr>
        <w:t>预算执行</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26.债务付息支出（类）地方政府一般债务付息支出（款）地方政府一般债券付息支出（项）年初预算为48</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340</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元，支出决算为48</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340</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元，完成年初预算的100%，决算数等于年初预算数的主要原因是严格按照</w:t>
      </w:r>
      <w:r>
        <w:rPr>
          <w:rFonts w:ascii="Times New Roman" w:hAnsi="Times New Roman" w:eastAsia="仿宋_GB2312" w:cs="仿宋_GB2312"/>
          <w:sz w:val="30"/>
          <w:szCs w:val="30"/>
        </w:rPr>
        <w:t>预算执行</w:t>
      </w:r>
      <w:r>
        <w:rPr>
          <w:rFonts w:hint="eastAsia" w:ascii="Times New Roman" w:hAnsi="Times New Roman" w:eastAsia="仿宋_GB2312" w:cs="仿宋_GB2312"/>
          <w:sz w:val="30"/>
          <w:szCs w:val="30"/>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pPr>
        <w:autoSpaceDE w:val="0"/>
        <w:autoSpaceDN w:val="0"/>
        <w:adjustRightInd w:val="0"/>
        <w:spacing w:line="600" w:lineRule="exact"/>
        <w:ind w:firstLine="72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天津市科学技术局</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165,310,977.02</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年度相比增加6,664,966.99元，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预算执行中人员动态调整</w:t>
      </w:r>
      <w:r>
        <w:rPr>
          <w:rFonts w:ascii="Times New Roman" w:hAnsi="Times New Roman" w:eastAsia="仿宋_GB2312" w:cs="仿宋_GB2312"/>
          <w:sz w:val="30"/>
          <w:szCs w:val="30"/>
        </w:rPr>
        <w:t>。</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150,416,590.51</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基本工资、津贴补贴、奖金、绩效工资、机关事业单位基本养老保险缴费、职业年金缴费、职工基本医疗保险缴费、公务员医疗补助缴费、其他社会保障缴费、住房公积金、医疗费、其他工资福利支出、离休费、退休费、医疗费补助。</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公用经费</w:t>
      </w:r>
      <w:r>
        <w:rPr>
          <w:rFonts w:hint="eastAsia" w:ascii="Times New Roman" w:hAnsi="Times New Roman" w:eastAsia="仿宋_GB2312" w:cs="Times New Roman"/>
          <w:sz w:val="30"/>
          <w:szCs w:val="30"/>
        </w:rPr>
        <w:t>14,894,386.51</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办公费、印刷费、咨询费、水费、电费、邮电费、取暖费、物业管理费、差旅费、维修(护)费、租赁费、培训费、公务接待费、劳务费、委托业务费、工会经费、福利费、公务用车运行维护费、其他交通费用、税金及附加费用、其他商品和服务支出、办公设备购置。</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pPr>
        <w:autoSpaceDE w:val="0"/>
        <w:autoSpaceDN w:val="0"/>
        <w:adjustRightInd w:val="0"/>
        <w:spacing w:line="600" w:lineRule="exact"/>
        <w:ind w:firstLine="600"/>
        <w:jc w:val="left"/>
        <w:rPr>
          <w:rFonts w:ascii="Times New Roman" w:hAnsi="Times New Roman" w:eastAsia="楷体" w:cs="楷体"/>
          <w:kern w:val="0"/>
          <w:sz w:val="30"/>
          <w:szCs w:val="30"/>
        </w:rPr>
      </w:pPr>
      <w:r>
        <w:rPr>
          <w:rFonts w:hint="eastAsia" w:ascii="Times New Roman" w:hAnsi="Times New Roman" w:eastAsia="仿宋_GB2312" w:cs="仿宋_GB2312"/>
          <w:sz w:val="30"/>
          <w:szCs w:val="30"/>
        </w:rPr>
        <w:t>天津市科学技术局2023年度无政府性基金预算财政拨款收入、支出和结转结余。</w:t>
      </w:r>
      <w:r>
        <w:rPr>
          <w:rFonts w:hint="eastAsia" w:ascii="Times New Roman" w:hAnsi="Times New Roman" w:eastAsia="仿宋_GB2312" w:cs="仿宋_GB2312"/>
          <w:sz w:val="30"/>
          <w:szCs w:val="30"/>
        </w:rPr>
        <w:tab/>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天津市科学技术局2023年度无国有资本经营预算财政拨款收入、支出和结转结余。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782,000.00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529,272.01</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252,727.99</w:t>
      </w:r>
      <w:r>
        <w:rPr>
          <w:rFonts w:hint="eastAsia" w:ascii="Times New Roman" w:hAnsi="Times New Roman" w:eastAsia="仿宋_GB2312" w:cs="仿宋_GB2312"/>
          <w:kern w:val="0"/>
          <w:sz w:val="30"/>
          <w:szCs w:val="30"/>
        </w:rPr>
        <w:t>元，完成预算的67.68</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435,418.78元，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463.94</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部分因公出国（境）费用未支出。</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的主要原因是：公务</w:t>
      </w:r>
      <w:r>
        <w:rPr>
          <w:rFonts w:ascii="Times New Roman" w:hAnsi="Times New Roman" w:eastAsia="仿宋_GB2312" w:cs="仿宋_GB2312"/>
          <w:kern w:val="0"/>
          <w:sz w:val="30"/>
          <w:szCs w:val="30"/>
        </w:rPr>
        <w:t>活动增加，</w:t>
      </w:r>
      <w:r>
        <w:rPr>
          <w:rFonts w:hint="eastAsia" w:ascii="Times New Roman" w:hAnsi="Times New Roman" w:eastAsia="仿宋_GB2312" w:cs="仿宋_GB2312"/>
          <w:sz w:val="30"/>
          <w:szCs w:val="30"/>
        </w:rPr>
        <w:t>因公出国（境）费用增加。</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650,000.00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418,137.51</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231,862.49</w:t>
      </w:r>
      <w:r>
        <w:rPr>
          <w:rFonts w:hint="eastAsia" w:ascii="Times New Roman" w:hAnsi="Times New Roman" w:eastAsia="仿宋_GB2312" w:cs="仿宋_GB2312"/>
          <w:kern w:val="0"/>
          <w:sz w:val="30"/>
          <w:szCs w:val="30"/>
        </w:rPr>
        <w:t>元，完成预算的64.33</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418,137.51元，</w:t>
      </w:r>
      <w:r>
        <w:rPr>
          <w:rFonts w:hint="eastAsia" w:ascii="Times New Roman" w:hAnsi="Times New Roman" w:eastAsia="仿宋_GB2312" w:cs="仿宋_GB2312"/>
          <w:sz w:val="30"/>
          <w:szCs w:val="30"/>
        </w:rPr>
        <w:t>增长10</w:t>
      </w:r>
      <w:r>
        <w:rPr>
          <w:rFonts w:hint="eastAsia" w:ascii="Times New Roman" w:hAnsi="Times New Roman" w:eastAsia="仿宋_GB2312" w:cs="仿宋_GB2312"/>
          <w:kern w:val="0"/>
          <w:sz w:val="30"/>
          <w:szCs w:val="30"/>
        </w:rPr>
        <w:t>0.0</w:t>
      </w:r>
      <w:r>
        <w:rPr>
          <w:rFonts w:ascii="Times New Roman" w:hAnsi="Times New Roman" w:eastAsia="仿宋_GB2312" w:cs="仿宋_GB2312"/>
          <w:kern w:val="0"/>
          <w:sz w:val="30"/>
          <w:szCs w:val="30"/>
        </w:rPr>
        <w:t>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部分因公出国（境）费用未支出。</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新增安排了出访任务。</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5</w:t>
      </w:r>
      <w:r>
        <w:rPr>
          <w:rFonts w:hint="eastAsia" w:ascii="Times New Roman" w:hAnsi="Times New Roman" w:eastAsia="仿宋_GB2312" w:cs="仿宋_GB2312"/>
          <w:kern w:val="0"/>
          <w:sz w:val="30"/>
          <w:szCs w:val="30"/>
        </w:rPr>
        <w:t>个，出国</w:t>
      </w:r>
      <w:r>
        <w:rPr>
          <w:rFonts w:hint="eastAsia" w:ascii="Times New Roman" w:hAnsi="Times New Roman" w:eastAsia="仿宋_GB2312" w:cs="Times New Roman"/>
          <w:kern w:val="0"/>
          <w:sz w:val="30"/>
          <w:szCs w:val="30"/>
        </w:rPr>
        <w:t>10</w:t>
      </w:r>
      <w:r>
        <w:rPr>
          <w:rFonts w:hint="eastAsia" w:ascii="Times New Roman" w:hAnsi="Times New Roman" w:eastAsia="仿宋_GB2312" w:cs="仿宋_GB2312"/>
          <w:kern w:val="0"/>
          <w:sz w:val="30"/>
          <w:szCs w:val="30"/>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93,000.00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74,862.50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18,137.50</w:t>
      </w:r>
      <w:r>
        <w:rPr>
          <w:rFonts w:hint="eastAsia" w:ascii="Times New Roman" w:hAnsi="Times New Roman" w:eastAsia="仿宋_GB2312" w:cs="仿宋_GB2312"/>
          <w:kern w:val="0"/>
          <w:sz w:val="30"/>
          <w:szCs w:val="30"/>
        </w:rPr>
        <w:t>元，完成预算的80.5</w:t>
      </w:r>
      <w:r>
        <w:rPr>
          <w:rFonts w:ascii="Times New Roman" w:hAnsi="Times New Roman" w:eastAsia="仿宋_GB2312" w:cs="仿宋_GB2312"/>
          <w:kern w:val="0"/>
          <w:sz w:val="30"/>
          <w:szCs w:val="30"/>
        </w:rPr>
        <w:t>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17,990.73元，</w:t>
      </w:r>
      <w:r>
        <w:rPr>
          <w:rFonts w:hint="eastAsia" w:ascii="Times New Roman" w:hAnsi="Times New Roman" w:eastAsia="仿宋_GB2312" w:cs="仿宋_GB2312"/>
          <w:sz w:val="30"/>
          <w:szCs w:val="30"/>
        </w:rPr>
        <w:t>下降</w:t>
      </w:r>
      <w:r>
        <w:rPr>
          <w:rFonts w:hint="eastAsia" w:ascii="Times New Roman" w:hAnsi="Times New Roman" w:eastAsia="仿宋_GB2312" w:cs="仿宋_GB2312"/>
          <w:kern w:val="0"/>
          <w:sz w:val="30"/>
          <w:szCs w:val="30"/>
        </w:rPr>
        <w:t>19.38</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合理安排公务用车使用，严格按照预算执行。</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93,000.00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74,862.50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18,137.50</w:t>
      </w:r>
      <w:r>
        <w:rPr>
          <w:rFonts w:hint="eastAsia" w:ascii="Times New Roman" w:hAnsi="Times New Roman" w:eastAsia="仿宋_GB2312" w:cs="仿宋_GB2312"/>
          <w:kern w:val="0"/>
          <w:sz w:val="30"/>
          <w:szCs w:val="30"/>
        </w:rPr>
        <w:t>元，完成预算的80.5</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17,990.73元，</w:t>
      </w:r>
      <w:r>
        <w:rPr>
          <w:rFonts w:hint="eastAsia" w:ascii="Times New Roman" w:hAnsi="Times New Roman" w:eastAsia="仿宋_GB2312" w:cs="仿宋_GB2312"/>
          <w:sz w:val="30"/>
          <w:szCs w:val="30"/>
        </w:rPr>
        <w:t>下降</w:t>
      </w:r>
      <w:r>
        <w:rPr>
          <w:rFonts w:hint="eastAsia" w:ascii="Times New Roman" w:hAnsi="Times New Roman" w:eastAsia="仿宋_GB2312" w:cs="仿宋_GB2312"/>
          <w:kern w:val="0"/>
          <w:sz w:val="30"/>
          <w:szCs w:val="30"/>
        </w:rPr>
        <w:t>19.38</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合理安排公务</w:t>
      </w:r>
      <w:r>
        <w:rPr>
          <w:rFonts w:hint="eastAsia" w:ascii="Times New Roman" w:hAnsi="Times New Roman" w:eastAsia="仿宋_GB2312" w:cs="仿宋_GB2312"/>
          <w:sz w:val="30"/>
          <w:szCs w:val="30"/>
          <w:lang w:eastAsia="zh-CN"/>
        </w:rPr>
        <w:t>运维费支出</w:t>
      </w:r>
      <w:r>
        <w:rPr>
          <w:rFonts w:hint="eastAsia" w:ascii="Times New Roman" w:hAnsi="Times New Roman" w:eastAsia="仿宋_GB2312" w:cs="仿宋_GB2312"/>
          <w:sz w:val="30"/>
          <w:szCs w:val="30"/>
        </w:rPr>
        <w:t>，严格按照预算执行。</w:t>
      </w: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9</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本年度未用财政拨款经费列支公务用车购置费。</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39,000.00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36,272.00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2,728.00</w:t>
      </w:r>
      <w:r>
        <w:rPr>
          <w:rFonts w:hint="eastAsia" w:ascii="Times New Roman" w:hAnsi="Times New Roman" w:eastAsia="仿宋_GB2312" w:cs="仿宋_GB2312"/>
          <w:kern w:val="0"/>
          <w:sz w:val="30"/>
          <w:szCs w:val="30"/>
        </w:rPr>
        <w:t>元，完成预算的93.01</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35,272.00元，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3527.2</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部分公务接待费未支出。</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新增公务接待任务。</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17</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135</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2</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8</w:t>
      </w:r>
      <w:r>
        <w:rPr>
          <w:rFonts w:hint="eastAsia" w:ascii="Times New Roman" w:hAnsi="Times New Roman" w:eastAsia="仿宋_GB2312" w:cs="仿宋_GB2312"/>
          <w:kern w:val="0"/>
          <w:sz w:val="30"/>
          <w:szCs w:val="30"/>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pPr>
        <w:autoSpaceDE w:val="0"/>
        <w:autoSpaceDN w:val="0"/>
        <w:adjustRightInd w:val="0"/>
        <w:spacing w:line="580" w:lineRule="exact"/>
        <w:ind w:firstLine="600"/>
        <w:jc w:val="left"/>
        <w:rPr>
          <w:rFonts w:hint="eastAsia"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rPr>
        <w:t>天津市科学技术局</w:t>
      </w:r>
      <w:r>
        <w:rPr>
          <w:rFonts w:hint="eastAsia" w:ascii="Times New Roman" w:hAnsi="Times New Roman" w:eastAsia="宋体" w:cs="宋体"/>
          <w:kern w:val="0"/>
          <w:sz w:val="30"/>
          <w:szCs w:val="30"/>
        </w:rPr>
        <w:t>2023</w:t>
      </w:r>
      <w:r>
        <w:rPr>
          <w:rFonts w:hint="eastAsia" w:ascii="Times New Roman" w:hAnsi="Times New Roman" w:eastAsia="仿宋_GB2312" w:cs="仿宋_GB2312"/>
          <w:kern w:val="0"/>
          <w:sz w:val="30"/>
          <w:szCs w:val="30"/>
        </w:rPr>
        <w:t>年度机关运行经费决算数</w:t>
      </w:r>
      <w:r>
        <w:rPr>
          <w:rFonts w:hint="eastAsia" w:ascii="Times New Roman" w:hAnsi="Times New Roman" w:eastAsia="仿宋_GB2312" w:cs="Times New Roman"/>
          <w:kern w:val="0"/>
          <w:sz w:val="30"/>
          <w:szCs w:val="30"/>
        </w:rPr>
        <w:t>7,173,409.01</w:t>
      </w:r>
      <w:r>
        <w:rPr>
          <w:rFonts w:hint="eastAsia" w:ascii="Times New Roman" w:hAnsi="Times New Roman" w:eastAsia="仿宋_GB2312" w:cs="仿宋_GB2312"/>
          <w:kern w:val="0"/>
          <w:sz w:val="30"/>
          <w:szCs w:val="30"/>
        </w:rPr>
        <w:t>元，比</w:t>
      </w:r>
      <w:r>
        <w:rPr>
          <w:rFonts w:hint="eastAsia" w:ascii="Times New Roman" w:hAnsi="Times New Roman" w:eastAsia="仿宋_GB2312" w:cs="Times New Roman"/>
          <w:kern w:val="0"/>
          <w:sz w:val="30"/>
          <w:szCs w:val="30"/>
        </w:rPr>
        <w:t>2022</w:t>
      </w:r>
      <w:r>
        <w:rPr>
          <w:rFonts w:hint="eastAsia" w:ascii="Times New Roman" w:hAnsi="Times New Roman" w:eastAsia="仿宋_GB2312" w:cs="仿宋_GB2312"/>
          <w:kern w:val="0"/>
          <w:sz w:val="30"/>
          <w:szCs w:val="30"/>
        </w:rPr>
        <w:t>年增加540,653.91元，增长8.15</w:t>
      </w:r>
      <w:r>
        <w:rPr>
          <w:rFonts w:hint="eastAsia" w:ascii="Times New Roman" w:hAnsi="Times New Roman" w:eastAsia="仿宋_GB2312" w:cs="Times New Roman"/>
          <w:kern w:val="0"/>
          <w:sz w:val="30"/>
          <w:szCs w:val="30"/>
        </w:rPr>
        <w:t>%</w:t>
      </w:r>
      <w:r>
        <w:rPr>
          <w:rFonts w:hint="eastAsia" w:ascii="Times New Roman" w:hAnsi="Times New Roman" w:eastAsia="仿宋_GB2312" w:cs="仿宋_GB2312"/>
          <w:kern w:val="0"/>
          <w:sz w:val="30"/>
          <w:szCs w:val="30"/>
        </w:rPr>
        <w:t>。主要原因是：</w:t>
      </w:r>
      <w:r>
        <w:rPr>
          <w:rFonts w:hint="eastAsia" w:ascii="Times New Roman" w:hAnsi="Times New Roman" w:eastAsia="仿宋_GB2312" w:cs="仿宋_GB2312"/>
          <w:sz w:val="30"/>
          <w:szCs w:val="30"/>
        </w:rPr>
        <w:t>增加部分职能处室。</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color w:val="000000"/>
          <w:kern w:val="0"/>
          <w:sz w:val="30"/>
          <w:szCs w:val="30"/>
        </w:rPr>
        <w:t>天津市科学技术局</w:t>
      </w:r>
      <w:r>
        <w:rPr>
          <w:rFonts w:hint="eastAsia" w:ascii="Times New Roman" w:hAnsi="Times New Roman" w:eastAsia="宋体" w:cs="宋体"/>
          <w:color w:val="000000"/>
          <w:kern w:val="0"/>
          <w:sz w:val="30"/>
          <w:szCs w:val="30"/>
        </w:rPr>
        <w:t>2023</w:t>
      </w:r>
      <w:r>
        <w:rPr>
          <w:rFonts w:hint="eastAsia" w:ascii="Times New Roman" w:hAnsi="Times New Roman" w:eastAsia="仿宋_GB2312" w:cs="仿宋_GB2312"/>
          <w:color w:val="000000"/>
          <w:kern w:val="0"/>
          <w:sz w:val="30"/>
          <w:szCs w:val="30"/>
        </w:rPr>
        <w:t>年</w:t>
      </w:r>
      <w:r>
        <w:rPr>
          <w:rFonts w:hint="eastAsia" w:ascii="Times New Roman" w:hAnsi="Times New Roman" w:eastAsia="仿宋_GB2312" w:cs="仿宋_GB2312"/>
          <w:sz w:val="30"/>
          <w:szCs w:val="30"/>
        </w:rPr>
        <w:t>政府</w:t>
      </w:r>
      <w:r>
        <w:rPr>
          <w:rFonts w:hint="eastAsia" w:ascii="Times New Roman" w:hAnsi="Times New Roman" w:eastAsia="仿宋_GB2312" w:cs="仿宋_GB2312"/>
          <w:color w:val="000000"/>
          <w:kern w:val="0"/>
          <w:sz w:val="30"/>
          <w:szCs w:val="30"/>
        </w:rPr>
        <w:t>采购支出总额</w:t>
      </w:r>
      <w:r>
        <w:rPr>
          <w:rFonts w:hint="eastAsia" w:ascii="Times New Roman" w:hAnsi="Times New Roman" w:eastAsia="仿宋_GB2312" w:cs="Times New Roman"/>
          <w:kern w:val="0"/>
          <w:sz w:val="30"/>
          <w:szCs w:val="30"/>
        </w:rPr>
        <w:t>1,141,257,231.68</w:t>
      </w:r>
      <w:r>
        <w:rPr>
          <w:rFonts w:hint="eastAsia" w:ascii="Times New Roman" w:hAnsi="Times New Roman" w:eastAsia="仿宋_GB2312" w:cs="仿宋_GB2312"/>
          <w:color w:val="000000"/>
          <w:kern w:val="0"/>
          <w:sz w:val="30"/>
          <w:szCs w:val="30"/>
        </w:rPr>
        <w:t>元，其中：政府采购货物支出</w:t>
      </w:r>
      <w:r>
        <w:rPr>
          <w:rFonts w:hint="eastAsia" w:ascii="Times New Roman" w:hAnsi="Times New Roman" w:eastAsia="仿宋_GB2312" w:cs="Times New Roman"/>
          <w:kern w:val="0"/>
          <w:sz w:val="30"/>
          <w:szCs w:val="30"/>
        </w:rPr>
        <w:t>1,435,613.00</w:t>
      </w:r>
      <w:r>
        <w:rPr>
          <w:rFonts w:hint="eastAsia" w:ascii="Times New Roman" w:hAnsi="Times New Roman" w:eastAsia="仿宋_GB2312" w:cs="仿宋_GB2312"/>
          <w:color w:val="000000"/>
          <w:kern w:val="0"/>
          <w:sz w:val="30"/>
          <w:szCs w:val="30"/>
        </w:rPr>
        <w:t>元、政府采购工程支出</w:t>
      </w:r>
      <w:r>
        <w:rPr>
          <w:rFonts w:hint="eastAsia" w:ascii="Times New Roman" w:hAnsi="Times New Roman" w:eastAsia="仿宋_GB2312" w:cs="Times New Roman"/>
          <w:kern w:val="0"/>
          <w:sz w:val="30"/>
          <w:szCs w:val="30"/>
        </w:rPr>
        <w:t>1,074,152,030.00</w:t>
      </w:r>
      <w:r>
        <w:rPr>
          <w:rFonts w:hint="eastAsia" w:ascii="Times New Roman" w:hAnsi="Times New Roman" w:eastAsia="仿宋_GB2312" w:cs="仿宋_GB2312"/>
          <w:color w:val="000000"/>
          <w:kern w:val="0"/>
          <w:sz w:val="30"/>
          <w:szCs w:val="30"/>
        </w:rPr>
        <w:t>元、政府采购服务支出</w:t>
      </w:r>
      <w:r>
        <w:rPr>
          <w:rFonts w:hint="eastAsia" w:ascii="Times New Roman" w:hAnsi="Times New Roman" w:eastAsia="仿宋_GB2312" w:cs="Times New Roman"/>
          <w:kern w:val="0"/>
          <w:sz w:val="30"/>
          <w:szCs w:val="30"/>
        </w:rPr>
        <w:t>65,669,588.68</w:t>
      </w:r>
      <w:r>
        <w:rPr>
          <w:rFonts w:hint="eastAsia" w:ascii="Times New Roman" w:hAnsi="Times New Roman" w:eastAsia="仿宋_GB2312" w:cs="仿宋_GB2312"/>
          <w:color w:val="000000"/>
          <w:kern w:val="0"/>
          <w:sz w:val="30"/>
          <w:szCs w:val="30"/>
        </w:rPr>
        <w:t>元。授予中小企业合同金额</w:t>
      </w:r>
      <w:r>
        <w:rPr>
          <w:rFonts w:hint="eastAsia" w:ascii="Times New Roman" w:hAnsi="Times New Roman" w:eastAsia="仿宋_GB2312" w:cs="Times New Roman"/>
          <w:kern w:val="0"/>
          <w:sz w:val="30"/>
          <w:szCs w:val="30"/>
        </w:rPr>
        <w:t>60,802,192.00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5.33%</w:t>
      </w:r>
      <w:r>
        <w:rPr>
          <w:rFonts w:hint="eastAsia" w:ascii="Times New Roman" w:hAnsi="Times New Roman" w:eastAsia="仿宋_GB2312" w:cs="仿宋_GB2312"/>
          <w:color w:val="000000"/>
          <w:kern w:val="0"/>
          <w:sz w:val="30"/>
          <w:szCs w:val="30"/>
        </w:rPr>
        <w:t>，其中：授予小微企业合同金额</w:t>
      </w:r>
      <w:r>
        <w:rPr>
          <w:rFonts w:hint="eastAsia" w:ascii="Times New Roman" w:hAnsi="Times New Roman" w:eastAsia="仿宋_GB2312" w:cs="Times New Roman"/>
          <w:kern w:val="0"/>
          <w:sz w:val="30"/>
          <w:szCs w:val="30"/>
        </w:rPr>
        <w:t>25,651,488.68</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2.25%</w:t>
      </w:r>
      <w:r>
        <w:rPr>
          <w:rFonts w:hint="eastAsia" w:ascii="Times New Roman" w:hAnsi="Times New Roman" w:eastAsia="仿宋_GB2312" w:cs="仿宋_GB2312"/>
          <w:color w:val="000000"/>
          <w:kern w:val="0"/>
          <w:sz w:val="30"/>
          <w:szCs w:val="30"/>
        </w:rPr>
        <w:t>；</w:t>
      </w:r>
      <w:r>
        <w:rPr>
          <w:rFonts w:hint="eastAsia" w:ascii="Times New Roman" w:hAnsi="Times New Roman" w:eastAsia="仿宋_GB2312" w:cs="仿宋_GB2312"/>
          <w:kern w:val="0"/>
          <w:sz w:val="30"/>
          <w:szCs w:val="30"/>
        </w:rPr>
        <w:t>货物采购授予中小企业合同金额占货物支出金额的</w:t>
      </w:r>
      <w:r>
        <w:rPr>
          <w:rFonts w:hint="eastAsia" w:ascii="Times New Roman" w:hAnsi="Times New Roman" w:eastAsia="仿宋_GB2312" w:cs="仿宋_GB2312"/>
          <w:sz w:val="30"/>
          <w:szCs w:val="30"/>
        </w:rPr>
        <w:t>64.57</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，工程采购授予中小企业合同金额占工程支出金额的</w:t>
      </w:r>
      <w:r>
        <w:rPr>
          <w:rFonts w:hint="eastAsia" w:ascii="Times New Roman" w:hAnsi="Times New Roman" w:eastAsia="仿宋_GB2312" w:cs="仿宋_GB2312"/>
          <w:sz w:val="30"/>
          <w:szCs w:val="30"/>
        </w:rPr>
        <w:t>0.30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，服务采购授予中小企业合同金额占服务支出金额的</w:t>
      </w:r>
      <w:r>
        <w:rPr>
          <w:rFonts w:hint="eastAsia" w:ascii="Times New Roman" w:hAnsi="Times New Roman" w:eastAsia="仿宋_GB2312" w:cs="仿宋_GB2312"/>
          <w:sz w:val="30"/>
          <w:szCs w:val="30"/>
        </w:rPr>
        <w:t>90.59</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十二、</w:t>
      </w:r>
      <w:r>
        <w:rPr>
          <w:rFonts w:hint="eastAsia" w:ascii="Times New Roman" w:hAnsi="Times New Roman" w:eastAsia="黑体" w:cs="黑体"/>
          <w:b/>
          <w:bCs/>
          <w:kern w:val="0"/>
          <w:sz w:val="30"/>
          <w:szCs w:val="30"/>
        </w:rPr>
        <w:t>国有资产占有使用情况说明</w:t>
      </w:r>
    </w:p>
    <w:p>
      <w:pPr>
        <w:autoSpaceDE w:val="0"/>
        <w:autoSpaceDN w:val="0"/>
        <w:adjustRightInd w:val="0"/>
        <w:spacing w:line="600" w:lineRule="exact"/>
        <w:ind w:firstLine="720"/>
        <w:jc w:val="left"/>
        <w:rPr>
          <w:rFonts w:ascii="Times New Roman" w:hAnsi="Times New Roman" w:eastAsia="仿宋_GB2312" w:cs="Times New Roman"/>
          <w:color w:val="000000"/>
          <w:kern w:val="0"/>
          <w:sz w:val="30"/>
          <w:szCs w:val="30"/>
        </w:rPr>
      </w:pPr>
      <w:r>
        <w:rPr>
          <w:rFonts w:hint="eastAsia" w:ascii="Times New Roman" w:hAnsi="Times New Roman" w:eastAsia="仿宋_GB2312" w:cs="仿宋_GB2312"/>
          <w:color w:val="000000"/>
          <w:kern w:val="0"/>
          <w:sz w:val="30"/>
          <w:szCs w:val="30"/>
        </w:rPr>
        <w:t>截至</w:t>
      </w:r>
      <w:r>
        <w:rPr>
          <w:rFonts w:ascii="Times New Roman" w:hAnsi="Times New Roman" w:eastAsia="宋体" w:cs="宋体"/>
          <w:color w:val="000000"/>
          <w:kern w:val="0"/>
          <w:sz w:val="30"/>
          <w:szCs w:val="30"/>
        </w:rPr>
        <w:t>202</w:t>
      </w:r>
      <w:r>
        <w:rPr>
          <w:rFonts w:hint="eastAsia" w:ascii="Times New Roman" w:hAnsi="Times New Roman" w:eastAsia="宋体" w:cs="宋体"/>
          <w:color w:val="000000"/>
          <w:kern w:val="0"/>
          <w:sz w:val="30"/>
          <w:szCs w:val="30"/>
        </w:rPr>
        <w:t>3</w:t>
      </w:r>
      <w:r>
        <w:rPr>
          <w:rFonts w:hint="eastAsia" w:ascii="Times New Roman" w:hAnsi="Times New Roman" w:eastAsia="仿宋_GB2312" w:cs="仿宋_GB2312"/>
          <w:color w:val="000000"/>
          <w:kern w:val="0"/>
          <w:sz w:val="30"/>
          <w:szCs w:val="30"/>
        </w:rPr>
        <w:t>年</w:t>
      </w:r>
      <w:r>
        <w:rPr>
          <w:rFonts w:ascii="Times New Roman" w:hAnsi="Times New Roman" w:eastAsia="仿宋_GB2312" w:cs="Times New Roman"/>
          <w:color w:val="000000"/>
          <w:kern w:val="0"/>
          <w:sz w:val="30"/>
          <w:szCs w:val="30"/>
        </w:rPr>
        <w:t>12</w:t>
      </w:r>
      <w:r>
        <w:rPr>
          <w:rFonts w:hint="eastAsia" w:ascii="Times New Roman" w:hAnsi="Times New Roman" w:eastAsia="仿宋_GB2312" w:cs="仿宋_GB2312"/>
          <w:color w:val="000000"/>
          <w:kern w:val="0"/>
          <w:sz w:val="30"/>
          <w:szCs w:val="30"/>
        </w:rPr>
        <w:t>月</w:t>
      </w:r>
      <w:r>
        <w:rPr>
          <w:rFonts w:ascii="Times New Roman" w:hAnsi="Times New Roman" w:eastAsia="仿宋_GB2312" w:cs="Times New Roman"/>
          <w:color w:val="000000"/>
          <w:kern w:val="0"/>
          <w:sz w:val="30"/>
          <w:szCs w:val="30"/>
        </w:rPr>
        <w:t>31</w:t>
      </w:r>
      <w:r>
        <w:rPr>
          <w:rFonts w:hint="eastAsia" w:ascii="Times New Roman" w:hAnsi="Times New Roman" w:eastAsia="仿宋_GB2312" w:cs="仿宋_GB2312"/>
          <w:color w:val="000000"/>
          <w:kern w:val="0"/>
          <w:sz w:val="30"/>
          <w:szCs w:val="30"/>
        </w:rPr>
        <w:t>日，天津市科学技术局共有车辆</w:t>
      </w:r>
      <w:r>
        <w:rPr>
          <w:rFonts w:hint="eastAsia" w:ascii="Times New Roman" w:hAnsi="Times New Roman" w:eastAsia="仿宋_GB2312" w:cs="Times New Roman"/>
          <w:kern w:val="0"/>
          <w:sz w:val="30"/>
          <w:szCs w:val="30"/>
        </w:rPr>
        <w:t>33</w:t>
      </w:r>
      <w:r>
        <w:rPr>
          <w:rFonts w:hint="eastAsia" w:ascii="Times New Roman" w:hAnsi="Times New Roman" w:eastAsia="仿宋_GB2312" w:cs="仿宋_GB2312"/>
          <w:color w:val="000000"/>
          <w:kern w:val="0"/>
          <w:sz w:val="30"/>
          <w:szCs w:val="30"/>
        </w:rPr>
        <w:t>辆，其中：</w:t>
      </w:r>
      <w:r>
        <w:rPr>
          <w:rFonts w:ascii="Times New Roman" w:hAnsi="Times New Roman" w:eastAsia="仿宋_GB2312" w:cs="Times New Roman"/>
          <w:kern w:val="0"/>
          <w:sz w:val="30"/>
          <w:szCs w:val="30"/>
        </w:rPr>
        <w:t>机要通信用车</w:t>
      </w:r>
      <w:r>
        <w:rPr>
          <w:rFonts w:hint="eastAsia" w:ascii="Times New Roman" w:hAnsi="Times New Roman" w:eastAsia="仿宋_GB2312" w:cs="Times New Roman"/>
          <w:kern w:val="0"/>
          <w:sz w:val="30"/>
          <w:szCs w:val="30"/>
        </w:rPr>
        <w:t>1</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应急保障用车</w:t>
      </w:r>
      <w:r>
        <w:rPr>
          <w:rFonts w:hint="eastAsia" w:ascii="Times New Roman" w:hAnsi="Times New Roman" w:eastAsia="仿宋_GB2312" w:cs="Times New Roman"/>
          <w:kern w:val="0"/>
          <w:sz w:val="30"/>
          <w:szCs w:val="30"/>
        </w:rPr>
        <w:t>1</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特种专业技术用车</w:t>
      </w:r>
      <w:r>
        <w:rPr>
          <w:rFonts w:hint="eastAsia" w:ascii="Times New Roman" w:hAnsi="Times New Roman" w:eastAsia="仿宋_GB2312" w:cs="Times New Roman"/>
          <w:kern w:val="0"/>
          <w:sz w:val="30"/>
          <w:szCs w:val="30"/>
        </w:rPr>
        <w:t>6</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离退休干部</w:t>
      </w:r>
      <w:r>
        <w:rPr>
          <w:rFonts w:hint="eastAsia" w:ascii="Times New Roman" w:hAnsi="Times New Roman" w:eastAsia="仿宋_GB2312" w:cs="Times New Roman"/>
          <w:kern w:val="0"/>
          <w:sz w:val="30"/>
          <w:szCs w:val="30"/>
        </w:rPr>
        <w:t>服务</w:t>
      </w:r>
      <w:r>
        <w:rPr>
          <w:rFonts w:ascii="Times New Roman" w:hAnsi="Times New Roman" w:eastAsia="仿宋_GB2312" w:cs="Times New Roman"/>
          <w:kern w:val="0"/>
          <w:sz w:val="30"/>
          <w:szCs w:val="30"/>
        </w:rPr>
        <w:t>用车</w:t>
      </w:r>
      <w:r>
        <w:rPr>
          <w:rFonts w:hint="eastAsia" w:ascii="Times New Roman" w:hAnsi="Times New Roman" w:eastAsia="仿宋_GB2312" w:cs="Times New Roman"/>
          <w:kern w:val="0"/>
          <w:sz w:val="30"/>
          <w:szCs w:val="30"/>
        </w:rPr>
        <w:t>1</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其他用车</w:t>
      </w:r>
      <w:r>
        <w:rPr>
          <w:rFonts w:hint="eastAsia" w:ascii="Times New Roman" w:hAnsi="Times New Roman" w:eastAsia="仿宋_GB2312" w:cs="Times New Roman"/>
          <w:kern w:val="0"/>
          <w:sz w:val="30"/>
          <w:szCs w:val="30"/>
        </w:rPr>
        <w:t>24</w:t>
      </w:r>
      <w:r>
        <w:rPr>
          <w:rFonts w:ascii="Times New Roman" w:hAnsi="Times New Roman" w:eastAsia="仿宋_GB2312" w:cs="Times New Roman"/>
          <w:kern w:val="0"/>
          <w:sz w:val="30"/>
          <w:szCs w:val="30"/>
        </w:rPr>
        <w:t>辆</w:t>
      </w:r>
      <w:r>
        <w:rPr>
          <w:rFonts w:hint="eastAsia" w:ascii="Times New Roman" w:hAnsi="Times New Roman" w:eastAsia="仿宋_GB2312" w:cs="Times New Roman"/>
          <w:kern w:val="0"/>
          <w:sz w:val="30"/>
          <w:szCs w:val="30"/>
        </w:rPr>
        <w:t>，其他用车主要包括</w:t>
      </w:r>
      <w:r>
        <w:rPr>
          <w:rFonts w:hint="eastAsia" w:ascii="Times New Roman" w:hAnsi="Times New Roman" w:eastAsia="仿宋_GB2312" w:cs="仿宋_GB2312"/>
          <w:sz w:val="30"/>
          <w:szCs w:val="30"/>
        </w:rPr>
        <w:t>业务用车。</w:t>
      </w:r>
      <w:r>
        <w:rPr>
          <w:rFonts w:hint="eastAsia" w:ascii="Times New Roman" w:hAnsi="Times New Roman" w:eastAsia="仿宋_GB2312" w:cs="仿宋_GB2312"/>
          <w:kern w:val="0"/>
          <w:sz w:val="30"/>
          <w:szCs w:val="30"/>
        </w:rPr>
        <w:t>单价</w:t>
      </w:r>
      <w:r>
        <w:rPr>
          <w:rFonts w:ascii="Times New Roman" w:hAnsi="Times New Roman" w:eastAsia="仿宋_GB2312" w:cs="仿宋_GB2312"/>
          <w:kern w:val="0"/>
          <w:sz w:val="30"/>
          <w:szCs w:val="30"/>
        </w:rPr>
        <w:t>100</w:t>
      </w:r>
      <w:r>
        <w:rPr>
          <w:rFonts w:hint="eastAsia" w:ascii="Times New Roman" w:hAnsi="Times New Roman" w:eastAsia="仿宋_GB2312" w:cs="仿宋_GB2312"/>
          <w:kern w:val="0"/>
          <w:sz w:val="30"/>
          <w:szCs w:val="30"/>
        </w:rPr>
        <w:t>万元以上的设备</w:t>
      </w:r>
      <w:r>
        <w:rPr>
          <w:rFonts w:hint="eastAsia" w:ascii="Times New Roman" w:hAnsi="Times New Roman" w:eastAsia="仿宋_GB2312" w:cs="Times New Roman"/>
          <w:kern w:val="0"/>
          <w:sz w:val="30"/>
          <w:szCs w:val="30"/>
        </w:rPr>
        <w:t>31</w:t>
      </w:r>
      <w:r>
        <w:rPr>
          <w:rFonts w:hint="eastAsia" w:ascii="Times New Roman" w:hAnsi="Times New Roman" w:eastAsia="仿宋_GB2312" w:cs="仿宋_GB2312"/>
          <w:kern w:val="0"/>
          <w:sz w:val="30"/>
          <w:szCs w:val="30"/>
        </w:rPr>
        <w:t>台（套）。</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十三、</w:t>
      </w:r>
      <w:r>
        <w:rPr>
          <w:rFonts w:hint="eastAsia" w:ascii="Times New Roman" w:hAnsi="Times New Roman" w:eastAsia="黑体" w:cs="黑体"/>
          <w:b/>
          <w:bCs/>
          <w:kern w:val="0"/>
          <w:sz w:val="30"/>
          <w:szCs w:val="30"/>
        </w:rPr>
        <w:t>预算绩效情况说明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根据预算绩效管理要求，天津市天津市科学技术局2023年度已对124个市级项目开展绩效自评，涉及金额972</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791</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650.2</w:t>
      </w:r>
      <w:r>
        <w:rPr>
          <w:rFonts w:ascii="Times New Roman" w:hAnsi="Times New Roman" w:eastAsia="仿宋_GB2312" w:cs="仿宋_GB2312"/>
          <w:sz w:val="30"/>
          <w:szCs w:val="30"/>
        </w:rPr>
        <w:t>0</w:t>
      </w:r>
      <w:r>
        <w:rPr>
          <w:rFonts w:hint="eastAsia" w:ascii="Times New Roman" w:hAnsi="Times New Roman" w:eastAsia="仿宋_GB2312" w:cs="仿宋_GB2312"/>
          <w:sz w:val="30"/>
          <w:szCs w:val="30"/>
        </w:rPr>
        <w:t>元，自评结果已随部门决算一并公开。本部门2023年度已对3个项目开展部门评价，涉及金额43</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十四、</w:t>
      </w:r>
      <w:r>
        <w:rPr>
          <w:rFonts w:hint="eastAsia" w:ascii="Times New Roman" w:hAnsi="Times New Roman" w:eastAsia="黑体" w:cs="黑体"/>
          <w:b/>
          <w:bCs/>
          <w:kern w:val="0"/>
          <w:sz w:val="30"/>
          <w:szCs w:val="30"/>
        </w:rPr>
        <w:t>教育、医疗卫生、社会保障和就业、住房保障、涉农补贴等民生支出情况说明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天津市科学技术局不属于乡、镇、街级单位，不涉及公开2022年度教育、医疗卫生、社会保障和就业、住房保障、涉农补贴等民生支出情况。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Nimbus Roman No9 L">
    <w:panose1 w:val="00000000000000000000"/>
    <w:charset w:val="00"/>
    <w:family w:val="auto"/>
    <w:pitch w:val="default"/>
    <w:sig w:usb0="00000000" w:usb1="00000000" w:usb2="00000000" w:usb3="00000000" w:csb0="00000000" w:csb1="00000000"/>
  </w:font>
  <w:font w:name="等线">
    <w:altName w:val="汉仪仿宋S"/>
    <w:panose1 w:val="00000000000000000000"/>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汉仪仿宋S">
    <w:panose1 w:val="00020600040101000101"/>
    <w:charset w:val="86"/>
    <w:family w:val="auto"/>
    <w:pitch w:val="default"/>
    <w:sig w:usb0="A00002BF" w:usb1="38CF7CFA" w:usb2="00000016"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0ZDdjZmNhMDU3OGRjODI0Y2FhODMxNDQzMzM1Nj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965C9"/>
    <w:rsid w:val="004A482F"/>
    <w:rsid w:val="004F39BF"/>
    <w:rsid w:val="005062D7"/>
    <w:rsid w:val="005175E6"/>
    <w:rsid w:val="00525149"/>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E0FD9"/>
    <w:rsid w:val="00AF71AE"/>
    <w:rsid w:val="00B33C70"/>
    <w:rsid w:val="00B75228"/>
    <w:rsid w:val="00B811F1"/>
    <w:rsid w:val="00B81B9F"/>
    <w:rsid w:val="00B97E76"/>
    <w:rsid w:val="00BC763A"/>
    <w:rsid w:val="00BC7D6F"/>
    <w:rsid w:val="00BD3CAC"/>
    <w:rsid w:val="00BF697A"/>
    <w:rsid w:val="00C23604"/>
    <w:rsid w:val="00C52E77"/>
    <w:rsid w:val="00C65A44"/>
    <w:rsid w:val="00C76AC3"/>
    <w:rsid w:val="00C83EB4"/>
    <w:rsid w:val="00D4505A"/>
    <w:rsid w:val="00D65B41"/>
    <w:rsid w:val="00DC3234"/>
    <w:rsid w:val="00DC3CD0"/>
    <w:rsid w:val="00DD60B5"/>
    <w:rsid w:val="00DF0168"/>
    <w:rsid w:val="00E7602B"/>
    <w:rsid w:val="00E964B2"/>
    <w:rsid w:val="00EA6549"/>
    <w:rsid w:val="00F007FE"/>
    <w:rsid w:val="00FC15A4"/>
    <w:rsid w:val="017D4A3B"/>
    <w:rsid w:val="01A10E80"/>
    <w:rsid w:val="029D518A"/>
    <w:rsid w:val="03311B3F"/>
    <w:rsid w:val="03901927"/>
    <w:rsid w:val="05CA273A"/>
    <w:rsid w:val="05E55C53"/>
    <w:rsid w:val="069A035E"/>
    <w:rsid w:val="07267E44"/>
    <w:rsid w:val="07425D24"/>
    <w:rsid w:val="07A23238"/>
    <w:rsid w:val="085D1644"/>
    <w:rsid w:val="0A027A4A"/>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 w:val="B7FF7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Char"/>
    <w:basedOn w:val="8"/>
    <w:link w:val="2"/>
    <w:qFormat/>
    <w:uiPriority w:val="99"/>
    <w:rPr>
      <w:rFonts w:ascii="方正小标宋简体" w:eastAsia="方正小标宋简体"/>
      <w:kern w:val="0"/>
      <w:sz w:val="24"/>
      <w:szCs w:val="24"/>
    </w:rPr>
  </w:style>
  <w:style w:type="character" w:customStyle="1" w:styleId="10">
    <w:name w:val="标题 2 Char"/>
    <w:basedOn w:val="8"/>
    <w:link w:val="3"/>
    <w:qFormat/>
    <w:uiPriority w:val="99"/>
    <w:rPr>
      <w:rFonts w:ascii="方正小标宋简体" w:eastAsia="方正小标宋简体"/>
      <w:kern w:val="0"/>
      <w:sz w:val="24"/>
      <w:szCs w:val="24"/>
    </w:rPr>
  </w:style>
  <w:style w:type="character" w:customStyle="1" w:styleId="11">
    <w:name w:val="页眉 Char"/>
    <w:basedOn w:val="8"/>
    <w:link w:val="6"/>
    <w:qFormat/>
    <w:uiPriority w:val="99"/>
    <w:rPr>
      <w:sz w:val="18"/>
      <w:szCs w:val="18"/>
    </w:rPr>
  </w:style>
  <w:style w:type="character" w:customStyle="1" w:styleId="12">
    <w:name w:val="页脚 Char"/>
    <w:basedOn w:val="8"/>
    <w:link w:val="5"/>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1601</Words>
  <Characters>9131</Characters>
  <Lines>76</Lines>
  <Paragraphs>21</Paragraphs>
  <TotalTime>14</TotalTime>
  <ScaleCrop>false</ScaleCrop>
  <LinksUpToDate>false</LinksUpToDate>
  <CharactersWithSpaces>10711</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2024-08-07T10:15:00Z</dcterms:created>
  <dc:creator>office</dc:creator>
  <cp:lastModifiedBy>麻淼磊</cp:lastModifiedBy>
  <dcterms:modified xsi:type="dcterms:W3CDTF">2024-08-28T09:24:14Z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A44E0A178634409BBBA50D5636087390_13</vt:lpwstr>
  </property>
</Properties>
</file>