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bCs/>
          <w:sz w:val="36"/>
          <w:szCs w:val="44"/>
        </w:rPr>
      </w:pP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40"/>
          <w:szCs w:val="40"/>
        </w:rPr>
      </w:pPr>
      <w:r>
        <w:rPr>
          <w:rFonts w:hint="eastAsia" w:ascii="Nimbus Roman No9 L" w:hAnsi="Nimbus Roman No9 L" w:eastAsia="方正小标宋简体" w:cs="Nimbus Roman No9 L"/>
          <w:b w:val="0"/>
          <w:bCs/>
          <w:sz w:val="40"/>
          <w:szCs w:val="40"/>
          <w:lang w:val="en-US" w:eastAsia="zh-CN"/>
        </w:rPr>
        <w:t>企业研发投入后补助</w:t>
      </w:r>
      <w:r>
        <w:rPr>
          <w:rFonts w:hint="default" w:ascii="Nimbus Roman No9 L" w:hAnsi="Nimbus Roman No9 L" w:eastAsia="方正小标宋简体" w:cs="Nimbus Roman No9 L"/>
          <w:b w:val="0"/>
          <w:bCs/>
          <w:sz w:val="40"/>
          <w:szCs w:val="40"/>
        </w:rPr>
        <w:t>转移支付</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40"/>
          <w:szCs w:val="40"/>
        </w:rPr>
      </w:pPr>
      <w:r>
        <w:rPr>
          <w:rFonts w:hint="default" w:ascii="Nimbus Roman No9 L" w:hAnsi="Nimbus Roman No9 L" w:eastAsia="方正小标宋简体" w:cs="Nimbus Roman No9 L"/>
          <w:b w:val="0"/>
          <w:bCs/>
          <w:sz w:val="40"/>
          <w:szCs w:val="40"/>
          <w:lang w:val="en-US" w:eastAsia="zh-CN"/>
        </w:rPr>
        <w:t>2024</w:t>
      </w:r>
      <w:r>
        <w:rPr>
          <w:rFonts w:hint="default" w:ascii="Nimbus Roman No9 L" w:hAnsi="Nimbus Roman No9 L" w:eastAsia="方正小标宋简体" w:cs="Nimbus Roman No9 L"/>
          <w:b w:val="0"/>
          <w:bCs/>
          <w:sz w:val="40"/>
          <w:szCs w:val="40"/>
        </w:rPr>
        <w:t>年度绩效自评报告</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一、</w:t>
      </w:r>
      <w:r>
        <w:rPr>
          <w:rFonts w:ascii="黑体" w:hAnsi="黑体" w:eastAsia="黑体" w:cs="Times New Roman"/>
          <w:sz w:val="32"/>
          <w:szCs w:val="32"/>
        </w:rPr>
        <w:t>项目概况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（一）项目基本情况。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1.项目实施背景</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i/>
          <w:iCs/>
          <w:sz w:val="24"/>
          <w:szCs w:val="24"/>
          <w:lang w:val="en"/>
        </w:rPr>
      </w:pPr>
      <w:r>
        <w:rPr>
          <w:rFonts w:hint="eastAsia" w:ascii="Nimbus Roman No9 L" w:hAnsi="Nimbus Roman No9 L" w:eastAsia="仿宋_GB2312"/>
          <w:sz w:val="32"/>
          <w:szCs w:val="32"/>
          <w:lang w:eastAsia="zh-CN"/>
        </w:rPr>
        <w:t>为深入实施创新驱动发展战略，贯彻落实我市科技创新“十四五”规划和我市科技创新三年行动计划，引导企业加大研发投入，提升创新能力，强化创新主体地位，</w:t>
      </w:r>
      <w:r>
        <w:rPr>
          <w:rFonts w:hint="eastAsia" w:ascii="Nimbus Roman No9 L" w:hAnsi="Nimbus Roman No9 L" w:eastAsia="仿宋_GB2312"/>
          <w:sz w:val="32"/>
          <w:szCs w:val="32"/>
          <w:lang w:val="en-US" w:eastAsia="zh-CN"/>
        </w:rPr>
        <w:t>2021年8月31日，</w:t>
      </w:r>
      <w:r>
        <w:rPr>
          <w:rFonts w:hint="eastAsia" w:ascii="Nimbus Roman No9 L" w:hAnsi="Nimbus Roman No9 L" w:eastAsia="仿宋_GB2312"/>
          <w:sz w:val="32"/>
          <w:szCs w:val="32"/>
          <w:lang w:eastAsia="zh-CN"/>
        </w:rPr>
        <w:t>市科技局、市财政局、市税务局研究制定了《天津市企业研发投入后补助办法》（津科规〔2021〕4号）。根据办法规定，市科技局牵头负责企业研发投入后补助的管理工作通过政策的落实，引导企业加大研发投入，提升企业创新能力，强化企业创新主体地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2.项目实施内容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i/>
          <w:iCs/>
          <w:sz w:val="24"/>
          <w:szCs w:val="24"/>
        </w:rPr>
      </w:pPr>
      <w:r>
        <w:rPr>
          <w:rFonts w:hint="eastAsia" w:ascii="Nimbus Roman No9 L" w:hAnsi="Nimbus Roman No9 L" w:eastAsia="仿宋_GB2312"/>
          <w:snapToGrid w:val="0"/>
          <w:kern w:val="0"/>
          <w:sz w:val="32"/>
          <w:szCs w:val="32"/>
        </w:rPr>
        <w:t>依据企业上一年度享受税前加计扣除的研发费用数额，由市财政按一定比例对企业</w:t>
      </w:r>
      <w:r>
        <w:rPr>
          <w:rFonts w:hint="eastAsia" w:ascii="Nimbus Roman No9 L" w:hAnsi="Nimbus Roman No9 L" w:eastAsia="仿宋_GB2312"/>
          <w:snapToGrid w:val="0"/>
          <w:kern w:val="0"/>
          <w:sz w:val="32"/>
          <w:szCs w:val="32"/>
          <w:lang w:eastAsia="zh-CN"/>
        </w:rPr>
        <w:t>择优</w:t>
      </w:r>
      <w:r>
        <w:rPr>
          <w:rFonts w:hint="eastAsia" w:ascii="Nimbus Roman No9 L" w:hAnsi="Nimbus Roman No9 L" w:eastAsia="仿宋_GB2312"/>
          <w:snapToGrid w:val="0"/>
          <w:kern w:val="0"/>
          <w:sz w:val="32"/>
          <w:szCs w:val="32"/>
        </w:rPr>
        <w:t>给予补助。</w:t>
      </w:r>
      <w:r>
        <w:rPr>
          <w:rFonts w:hint="eastAsia" w:ascii="Nimbus Roman No9 L" w:hAnsi="Nimbus Roman No9 L" w:eastAsia="仿宋_GB2312" w:cs="Times New Roman"/>
          <w:color w:val="auto"/>
          <w:sz w:val="32"/>
          <w:szCs w:val="32"/>
          <w:lang w:val="en-US" w:eastAsia="zh-CN"/>
        </w:rPr>
        <w:t>年度预算资金</w:t>
      </w:r>
      <w:r>
        <w:rPr>
          <w:rFonts w:hint="eastAsia" w:ascii="Nimbus Roman No9 L" w:hAnsi="Nimbus Roman No9 L" w:eastAsia="仿宋_GB2312" w:cs="Times New Roman"/>
          <w:color w:val="auto"/>
          <w:sz w:val="32"/>
          <w:szCs w:val="32"/>
          <w:lang w:eastAsia="zh-CN"/>
        </w:rPr>
        <w:t>由</w:t>
      </w:r>
      <w:r>
        <w:rPr>
          <w:rFonts w:hint="default" w:ascii="Nimbus Roman No9 L" w:hAnsi="Nimbus Roman No9 L" w:eastAsia="仿宋_GB2312" w:cs="Times New Roman"/>
          <w:color w:val="auto"/>
          <w:sz w:val="32"/>
          <w:szCs w:val="32"/>
          <w:lang w:eastAsia="zh-CN"/>
        </w:rPr>
        <w:t>“雏鹰”企业</w:t>
      </w:r>
      <w:r>
        <w:rPr>
          <w:rFonts w:hint="eastAsia" w:ascii="Nimbus Roman No9 L" w:hAnsi="Nimbus Roman No9 L" w:eastAsia="仿宋_GB2312" w:cs="Times New Roman"/>
          <w:color w:val="auto"/>
          <w:sz w:val="32"/>
          <w:szCs w:val="32"/>
          <w:lang w:eastAsia="zh-CN"/>
        </w:rPr>
        <w:t>、规模以上企业和规模以下企业三部分补助资金组成</w:t>
      </w:r>
      <w:r>
        <w:rPr>
          <w:rFonts w:hint="eastAsia" w:ascii="Nimbus Roman No9 L" w:hAnsi="Nimbus Roman No9 L" w:eastAsia="仿宋_GB2312" w:cs="Times New Roman"/>
          <w:color w:val="auto"/>
          <w:sz w:val="32"/>
          <w:szCs w:val="32"/>
          <w:lang w:val="en-US" w:eastAsia="zh-CN"/>
        </w:rPr>
        <w:t>。</w:t>
      </w:r>
      <w:r>
        <w:rPr>
          <w:rFonts w:hint="eastAsia" w:ascii="Nimbus Roman No9 L" w:hAnsi="Nimbus Roman No9 L" w:eastAsia="仿宋_GB2312" w:cs="Times New Roman"/>
          <w:color w:val="auto"/>
          <w:sz w:val="32"/>
          <w:szCs w:val="32"/>
          <w:lang w:eastAsia="zh-CN"/>
        </w:rPr>
        <w:t>其中</w:t>
      </w:r>
      <w:r>
        <w:rPr>
          <w:rFonts w:hint="default" w:ascii="Nimbus Roman No9 L" w:hAnsi="Nimbus Roman No9 L" w:eastAsia="仿宋_GB2312" w:cs="Times New Roman"/>
          <w:color w:val="auto"/>
          <w:sz w:val="32"/>
          <w:szCs w:val="32"/>
          <w:lang w:eastAsia="zh-CN"/>
        </w:rPr>
        <w:t>“雏鹰”企业不参加排序</w:t>
      </w:r>
      <w:r>
        <w:rPr>
          <w:rFonts w:hint="eastAsia" w:ascii="Nimbus Roman No9 L" w:hAnsi="Nimbus Roman No9 L" w:eastAsia="仿宋_GB2312" w:cs="Times New Roman"/>
          <w:color w:val="auto"/>
          <w:sz w:val="32"/>
          <w:szCs w:val="32"/>
          <w:lang w:eastAsia="zh-CN"/>
        </w:rPr>
        <w:t>均可获得补助资金支持</w:t>
      </w:r>
      <w:r>
        <w:rPr>
          <w:rFonts w:hint="eastAsia" w:ascii="Nimbus Roman No9 L" w:hAnsi="Nimbus Roman No9 L" w:eastAsia="仿宋_GB2312" w:cs="Times New Roman"/>
          <w:color w:val="auto"/>
          <w:sz w:val="32"/>
          <w:szCs w:val="32"/>
          <w:lang w:val="en-US" w:eastAsia="zh-CN"/>
        </w:rPr>
        <w:t>；按照</w:t>
      </w:r>
      <w:r>
        <w:rPr>
          <w:rFonts w:hint="eastAsia" w:ascii="Nimbus Roman No9 L" w:hAnsi="Nimbus Roman No9 L" w:eastAsia="仿宋_GB2312" w:cs="Times New Roman"/>
          <w:color w:val="auto"/>
          <w:sz w:val="32"/>
          <w:szCs w:val="32"/>
          <w:lang w:eastAsia="zh-CN"/>
        </w:rPr>
        <w:t>规模以上企业和规模以下企业获得补助的机会均等的原则，确定</w:t>
      </w:r>
      <w:r>
        <w:rPr>
          <w:rFonts w:hint="default" w:ascii="Nimbus Roman No9 L" w:hAnsi="Nimbus Roman No9 L" w:eastAsia="仿宋_GB2312" w:cs="Times New Roman"/>
          <w:color w:val="auto"/>
          <w:sz w:val="32"/>
          <w:szCs w:val="32"/>
          <w:lang w:eastAsia="zh-CN"/>
        </w:rPr>
        <w:t>规上企业</w:t>
      </w:r>
      <w:r>
        <w:rPr>
          <w:rFonts w:hint="eastAsia" w:ascii="Nimbus Roman No9 L" w:hAnsi="Nimbus Roman No9 L" w:eastAsia="仿宋_GB2312" w:cs="Times New Roman"/>
          <w:color w:val="auto"/>
          <w:sz w:val="32"/>
          <w:szCs w:val="32"/>
          <w:lang w:eastAsia="zh-CN"/>
        </w:rPr>
        <w:t>择优</w:t>
      </w:r>
      <w:r>
        <w:rPr>
          <w:rFonts w:hint="default" w:ascii="Nimbus Roman No9 L" w:hAnsi="Nimbus Roman No9 L" w:eastAsia="仿宋_GB2312" w:cs="Times New Roman"/>
          <w:color w:val="auto"/>
          <w:sz w:val="32"/>
          <w:szCs w:val="32"/>
          <w:lang w:eastAsia="zh-CN"/>
        </w:rPr>
        <w:t>补助</w:t>
      </w:r>
      <w:r>
        <w:rPr>
          <w:rFonts w:hint="eastAsia" w:ascii="Nimbus Roman No9 L" w:hAnsi="Nimbus Roman No9 L" w:eastAsia="仿宋_GB2312" w:cs="Times New Roman"/>
          <w:color w:val="auto"/>
          <w:sz w:val="32"/>
          <w:szCs w:val="32"/>
          <w:lang w:eastAsia="zh-CN"/>
        </w:rPr>
        <w:t>资金总额</w:t>
      </w:r>
      <w:r>
        <w:rPr>
          <w:rFonts w:hint="default" w:ascii="Nimbus Roman No9 L" w:hAnsi="Nimbus Roman No9 L" w:eastAsia="仿宋_GB2312" w:cs="Times New Roman"/>
          <w:color w:val="auto"/>
          <w:sz w:val="32"/>
          <w:szCs w:val="32"/>
          <w:lang w:eastAsia="zh-CN"/>
        </w:rPr>
        <w:t>和规下企业</w:t>
      </w:r>
      <w:r>
        <w:rPr>
          <w:rFonts w:hint="eastAsia" w:ascii="Nimbus Roman No9 L" w:hAnsi="Nimbus Roman No9 L" w:eastAsia="仿宋_GB2312" w:cs="Times New Roman"/>
          <w:color w:val="auto"/>
          <w:sz w:val="32"/>
          <w:szCs w:val="32"/>
          <w:lang w:eastAsia="zh-CN"/>
        </w:rPr>
        <w:t>择优</w:t>
      </w:r>
      <w:r>
        <w:rPr>
          <w:rFonts w:hint="default" w:ascii="Nimbus Roman No9 L" w:hAnsi="Nimbus Roman No9 L" w:eastAsia="仿宋_GB2312" w:cs="Times New Roman"/>
          <w:color w:val="auto"/>
          <w:sz w:val="32"/>
          <w:szCs w:val="32"/>
          <w:lang w:eastAsia="zh-CN"/>
        </w:rPr>
        <w:t>补助</w:t>
      </w:r>
      <w:r>
        <w:rPr>
          <w:rFonts w:hint="eastAsia" w:ascii="Nimbus Roman No9 L" w:hAnsi="Nimbus Roman No9 L" w:eastAsia="仿宋_GB2312" w:cs="Times New Roman"/>
          <w:color w:val="auto"/>
          <w:sz w:val="32"/>
          <w:szCs w:val="32"/>
          <w:lang w:eastAsia="zh-CN"/>
        </w:rPr>
        <w:t>资金总</w:t>
      </w:r>
      <w:r>
        <w:rPr>
          <w:rFonts w:hint="default" w:ascii="Nimbus Roman No9 L" w:hAnsi="Nimbus Roman No9 L" w:eastAsia="仿宋_GB2312" w:cs="Times New Roman"/>
          <w:color w:val="auto"/>
          <w:sz w:val="32"/>
          <w:szCs w:val="32"/>
          <w:lang w:eastAsia="zh-CN"/>
        </w:rPr>
        <w:t>额</w:t>
      </w:r>
      <w:r>
        <w:rPr>
          <w:rFonts w:hint="eastAsia" w:ascii="Nimbus Roman No9 L" w:hAnsi="Nimbus Roman No9 L" w:eastAsia="仿宋_GB2312" w:cs="Times New Roman"/>
          <w:color w:val="auto"/>
          <w:sz w:val="32"/>
          <w:szCs w:val="32"/>
          <w:lang w:val="en-US" w:eastAsia="zh-CN"/>
        </w:rPr>
        <w:t>。对于综合排名靠前的规模以上和规模以下企业分别进行补助资金加和，资金加和在补助</w:t>
      </w:r>
      <w:r>
        <w:rPr>
          <w:rFonts w:hint="eastAsia" w:ascii="Nimbus Roman No9 L" w:hAnsi="Nimbus Roman No9 L" w:eastAsia="仿宋_GB2312" w:cs="Times New Roman"/>
          <w:b w:val="0"/>
          <w:bCs w:val="0"/>
          <w:color w:val="auto"/>
          <w:sz w:val="32"/>
          <w:szCs w:val="32"/>
          <w:lang w:val="en-US" w:eastAsia="zh-CN"/>
        </w:rPr>
        <w:t>资金总额</w:t>
      </w:r>
      <w:r>
        <w:rPr>
          <w:rFonts w:hint="eastAsia" w:ascii="Nimbus Roman No9 L" w:hAnsi="Nimbus Roman No9 L" w:eastAsia="仿宋_GB2312" w:cs="Times New Roman"/>
          <w:b w:val="0"/>
          <w:bCs w:val="0"/>
          <w:color w:val="auto"/>
          <w:sz w:val="32"/>
          <w:szCs w:val="32"/>
          <w:lang w:eastAsia="zh-CN"/>
        </w:rPr>
        <w:t>范围内的企业可以获得补助资金</w:t>
      </w:r>
      <w:r>
        <w:rPr>
          <w:rFonts w:hint="eastAsia" w:ascii="Nimbus Roman No9 L" w:hAnsi="Nimbus Roman No9 L" w:eastAsia="仿宋_GB2312" w:cs="Times New Roman"/>
          <w:color w:val="auto"/>
          <w:sz w:val="32"/>
          <w:szCs w:val="32"/>
          <w:lang w:val="en-US" w:eastAsia="zh-CN"/>
        </w:rPr>
        <w:t>支持。</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3.项目资金安排及使用管理情况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（1）资金安排及到位情况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cs="Nimbus Roman No9 L"/>
          <w:snapToGrid w:val="0"/>
          <w:kern w:val="0"/>
          <w:sz w:val="32"/>
          <w:szCs w:val="32"/>
          <w:highlight w:val="none"/>
          <w:lang w:val="en-US" w:eastAsia="zh-CN"/>
        </w:rPr>
      </w:pPr>
      <w:r>
        <w:rPr>
          <w:rFonts w:hint="default" w:ascii="Nimbus Roman No9 L" w:hAnsi="Nimbus Roman No9 L" w:cs="Nimbus Roman No9 L"/>
          <w:snapToGrid w:val="0"/>
          <w:kern w:val="0"/>
          <w:sz w:val="32"/>
          <w:szCs w:val="32"/>
          <w:highlight w:val="none"/>
          <w:lang w:val="en-US" w:eastAsia="zh-CN"/>
        </w:rPr>
        <w:t>2024年通过市对区转移支付预算下达各区</w:t>
      </w:r>
      <w:r>
        <w:rPr>
          <w:rFonts w:hint="eastAsia" w:ascii="Nimbus Roman No9 L" w:hAnsi="Nimbus Roman No9 L" w:cs="Nimbus Roman No9 L"/>
          <w:snapToGrid w:val="0"/>
          <w:kern w:val="0"/>
          <w:sz w:val="32"/>
          <w:szCs w:val="32"/>
          <w:highlight w:val="none"/>
          <w:lang w:val="en-US" w:eastAsia="zh-CN"/>
        </w:rPr>
        <w:t>企业研发投入后补助</w:t>
      </w:r>
      <w:r>
        <w:rPr>
          <w:rFonts w:hint="default" w:ascii="Nimbus Roman No9 L" w:hAnsi="Nimbus Roman No9 L" w:cs="Nimbus Roman No9 L"/>
          <w:snapToGrid w:val="0"/>
          <w:kern w:val="0"/>
          <w:sz w:val="32"/>
          <w:szCs w:val="32"/>
          <w:highlight w:val="none"/>
          <w:lang w:val="en-US" w:eastAsia="zh-CN"/>
        </w:rPr>
        <w:t>资金</w:t>
      </w:r>
      <w:r>
        <w:rPr>
          <w:rFonts w:hint="eastAsia" w:ascii="Nimbus Roman No9 L" w:hAnsi="Nimbus Roman No9 L" w:cs="Nimbus Roman No9 L"/>
          <w:snapToGrid w:val="0"/>
          <w:kern w:val="0"/>
          <w:sz w:val="32"/>
          <w:szCs w:val="32"/>
          <w:highlight w:val="none"/>
          <w:lang w:val="en-US" w:eastAsia="zh-CN"/>
        </w:rPr>
        <w:t>24141.25</w:t>
      </w:r>
      <w:r>
        <w:rPr>
          <w:rFonts w:hint="default" w:ascii="Nimbus Roman No9 L" w:hAnsi="Nimbus Roman No9 L" w:cs="Nimbus Roman No9 L"/>
          <w:snapToGrid w:val="0"/>
          <w:kern w:val="0"/>
          <w:sz w:val="32"/>
          <w:szCs w:val="32"/>
          <w:highlight w:val="none"/>
          <w:lang w:val="en-US" w:eastAsia="zh-CN"/>
        </w:rPr>
        <w:t>万元。</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（2）资金使用情况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cs="Nimbus Roman No9 L"/>
          <w:snapToGrid w:val="0"/>
          <w:kern w:val="0"/>
          <w:sz w:val="32"/>
          <w:szCs w:val="32"/>
          <w:highlight w:val="none"/>
          <w:lang w:val="en-US" w:eastAsia="zh-CN"/>
        </w:rPr>
      </w:pPr>
      <w:r>
        <w:rPr>
          <w:rFonts w:hint="default" w:ascii="Nimbus Roman No9 L" w:hAnsi="Nimbus Roman No9 L" w:cs="Nimbus Roman No9 L"/>
          <w:snapToGrid w:val="0"/>
          <w:kern w:val="0"/>
          <w:sz w:val="32"/>
          <w:szCs w:val="32"/>
          <w:highlight w:val="none"/>
          <w:lang w:val="en-US" w:eastAsia="zh-CN"/>
        </w:rPr>
        <w:t>截至2024年12月，各区已支出</w:t>
      </w:r>
      <w:r>
        <w:rPr>
          <w:rFonts w:hint="eastAsia" w:ascii="Nimbus Roman No9 L" w:hAnsi="Nimbus Roman No9 L" w:cs="Nimbus Roman No9 L"/>
          <w:snapToGrid w:val="0"/>
          <w:kern w:val="0"/>
          <w:sz w:val="32"/>
          <w:szCs w:val="32"/>
          <w:highlight w:val="none"/>
          <w:lang w:val="en-US" w:eastAsia="zh-CN"/>
        </w:rPr>
        <w:t>17069.68</w:t>
      </w:r>
      <w:r>
        <w:rPr>
          <w:rFonts w:hint="default" w:ascii="Nimbus Roman No9 L" w:hAnsi="Nimbus Roman No9 L" w:cs="Nimbus Roman No9 L"/>
          <w:snapToGrid w:val="0"/>
          <w:kern w:val="0"/>
          <w:sz w:val="32"/>
          <w:szCs w:val="32"/>
          <w:highlight w:val="none"/>
          <w:lang w:val="en-US" w:eastAsia="zh-CN"/>
        </w:rPr>
        <w:t>万元，预算执行率为</w:t>
      </w:r>
      <w:r>
        <w:rPr>
          <w:rFonts w:hint="eastAsia" w:ascii="Nimbus Roman No9 L" w:hAnsi="Nimbus Roman No9 L" w:cs="Nimbus Roman No9 L"/>
          <w:snapToGrid w:val="0"/>
          <w:kern w:val="0"/>
          <w:sz w:val="32"/>
          <w:szCs w:val="32"/>
          <w:highlight w:val="none"/>
          <w:lang w:val="en-US" w:eastAsia="zh-CN"/>
        </w:rPr>
        <w:t>70.71</w:t>
      </w:r>
      <w:r>
        <w:rPr>
          <w:rFonts w:hint="default" w:ascii="Nimbus Roman No9 L" w:hAnsi="Nimbus Roman No9 L" w:cs="Nimbus Roman No9 L"/>
          <w:snapToGrid w:val="0"/>
          <w:kern w:val="0"/>
          <w:sz w:val="32"/>
          <w:szCs w:val="32"/>
          <w:highlight w:val="none"/>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二、</w:t>
      </w:r>
      <w:r>
        <w:rPr>
          <w:rFonts w:ascii="黑体" w:hAnsi="黑体" w:eastAsia="黑体" w:cs="Times New Roman"/>
          <w:sz w:val="32"/>
          <w:szCs w:val="32"/>
        </w:rPr>
        <w:t>项目</w:t>
      </w:r>
      <w:r>
        <w:rPr>
          <w:rFonts w:hint="eastAsia" w:ascii="黑体" w:hAnsi="黑体" w:eastAsia="黑体" w:cs="Times New Roman"/>
          <w:sz w:val="32"/>
          <w:szCs w:val="32"/>
        </w:rPr>
        <w:t>全过程绩效管理情况。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（一）项目绩效目标编制、审核及修订情况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eastAsia="zh-CN"/>
        </w:rPr>
      </w:pPr>
      <w:r>
        <w:rPr>
          <w:rFonts w:hint="default" w:ascii="Nimbus Roman No9 L" w:hAnsi="Nimbus Roman No9 L" w:eastAsia="仿宋_GB2312" w:cs="Times New Roman"/>
          <w:sz w:val="32"/>
          <w:szCs w:val="32"/>
        </w:rPr>
        <w:t>1.数量指标</w:t>
      </w:r>
      <w:r>
        <w:rPr>
          <w:rFonts w:hint="eastAsia" w:ascii="Nimbus Roman No9 L" w:hAnsi="Nimbus Roman No9 L" w:eastAsia="仿宋_GB2312" w:cs="Times New Roman"/>
          <w:sz w:val="32"/>
          <w:szCs w:val="32"/>
          <w:lang w:eastAsia="zh-CN"/>
        </w:rPr>
        <w:t>：申报政策的企业数量超过</w:t>
      </w:r>
      <w:r>
        <w:rPr>
          <w:rFonts w:hint="eastAsia" w:ascii="Nimbus Roman No9 L" w:hAnsi="Nimbus Roman No9 L" w:eastAsia="仿宋_GB2312" w:cs="Times New Roman"/>
          <w:sz w:val="32"/>
          <w:szCs w:val="32"/>
          <w:lang w:val="en-US" w:eastAsia="zh-CN"/>
        </w:rPr>
        <w:t>3900家；获得奖励资金的雏鹰企业数量超过1750家。主要</w:t>
      </w:r>
      <w:r>
        <w:rPr>
          <w:rFonts w:hint="default" w:ascii="Nimbus Roman No9 L" w:hAnsi="Nimbus Roman No9 L" w:eastAsia="仿宋_GB2312" w:cs="Times New Roman"/>
          <w:sz w:val="32"/>
          <w:szCs w:val="32"/>
        </w:rPr>
        <w:t>根据上一年度享受该政策企业数量、享受税务部门研发费用加计扣除政策的企业总数等估算</w:t>
      </w:r>
      <w:r>
        <w:rPr>
          <w:rFonts w:hint="default" w:ascii="Nimbus Roman No9 L" w:hAnsi="Nimbus Roman No9 L"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eastAsia="zh-CN"/>
        </w:rPr>
      </w:pPr>
      <w:r>
        <w:rPr>
          <w:rFonts w:hint="default" w:ascii="Nimbus Roman No9 L" w:hAnsi="Nimbus Roman No9 L" w:eastAsia="仿宋_GB2312" w:cs="Times New Roman"/>
          <w:sz w:val="32"/>
          <w:szCs w:val="32"/>
        </w:rPr>
        <w:t>2.质量指标</w:t>
      </w:r>
      <w:r>
        <w:rPr>
          <w:rFonts w:hint="eastAsia" w:ascii="Nimbus Roman No9 L" w:hAnsi="Nimbus Roman No9 L" w:eastAsia="仿宋_GB2312" w:cs="Times New Roman"/>
          <w:sz w:val="32"/>
          <w:szCs w:val="32"/>
          <w:lang w:eastAsia="zh-CN"/>
        </w:rPr>
        <w:t>：</w:t>
      </w:r>
      <w:r>
        <w:rPr>
          <w:rFonts w:hint="eastAsia" w:ascii="Nimbus Roman No9 L" w:hAnsi="Nimbus Roman No9 L" w:eastAsia="仿宋_GB2312" w:cs="Times New Roman"/>
          <w:sz w:val="32"/>
          <w:szCs w:val="32"/>
          <w:lang w:val="en-US" w:eastAsia="zh-CN"/>
        </w:rPr>
        <w:t>全市享受研发费用加计扣除政策的企业和金额实现正增长。</w:t>
      </w:r>
      <w:r>
        <w:rPr>
          <w:rFonts w:hint="default" w:ascii="Nimbus Roman No9 L" w:hAnsi="Nimbus Roman No9 L" w:eastAsia="仿宋_GB2312" w:cs="Times New Roman"/>
          <w:sz w:val="32"/>
          <w:szCs w:val="32"/>
        </w:rPr>
        <w:t>天津市企业研发投入后补助政策基于研发费用增长率给予增量补助，按照增长率最高给予基础补助额50%的增量补助，研发费用负增长则按照增长率的2倍扣减原有基础补助额，充分调动企业持续加大研发投入的积极性</w:t>
      </w:r>
      <w:r>
        <w:rPr>
          <w:rFonts w:hint="default" w:ascii="Nimbus Roman No9 L" w:hAnsi="Nimbus Roman No9 L"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rPr>
      </w:pPr>
      <w:r>
        <w:rPr>
          <w:rFonts w:hint="default" w:ascii="Nimbus Roman No9 L" w:hAnsi="Nimbus Roman No9 L" w:eastAsia="仿宋_GB2312" w:cs="Times New Roman"/>
          <w:sz w:val="32"/>
          <w:szCs w:val="32"/>
        </w:rPr>
        <w:t>3.时效指标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按照实施方案积极推进政策落实，</w:t>
      </w:r>
      <w:r>
        <w:rPr>
          <w:rFonts w:hint="eastAsia" w:ascii="Nimbus Roman No9 L" w:hAnsi="Nimbus Roman No9 L" w:eastAsia="仿宋_GB2312" w:cs="Times New Roman"/>
          <w:sz w:val="32"/>
          <w:szCs w:val="32"/>
          <w:lang w:val="en-US" w:eastAsia="zh-CN"/>
        </w:rPr>
        <w:t>年底前完成项目立项</w:t>
      </w:r>
      <w:r>
        <w:rPr>
          <w:rFonts w:hint="default" w:ascii="Nimbus Roman No9 L" w:hAnsi="Nimbus Roman No9 L"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val="en-US" w:eastAsia="zh-CN"/>
        </w:rPr>
      </w:pPr>
      <w:r>
        <w:rPr>
          <w:rFonts w:hint="default" w:ascii="Nimbus Roman No9 L" w:hAnsi="Nimbus Roman No9 L" w:eastAsia="仿宋_GB2312" w:cs="Times New Roman"/>
          <w:sz w:val="32"/>
          <w:szCs w:val="32"/>
        </w:rPr>
        <w:t>4.成本指标</w:t>
      </w:r>
      <w:r>
        <w:rPr>
          <w:rFonts w:hint="eastAsia" w:ascii="Nimbus Roman No9 L" w:hAnsi="Nimbus Roman No9 L" w:eastAsia="仿宋_GB2312" w:cs="Times New Roman"/>
          <w:sz w:val="32"/>
          <w:szCs w:val="32"/>
          <w:lang w:eastAsia="zh-CN"/>
        </w:rPr>
        <w:t>：财政预算控制在</w:t>
      </w:r>
      <w:r>
        <w:rPr>
          <w:rFonts w:hint="eastAsia" w:ascii="Nimbus Roman No9 L" w:hAnsi="Nimbus Roman No9 L" w:eastAsia="仿宋_GB2312" w:cs="Times New Roman"/>
          <w:sz w:val="32"/>
          <w:szCs w:val="32"/>
          <w:lang w:val="en-US" w:eastAsia="zh-CN"/>
        </w:rPr>
        <w:t>24357.23万。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rPr>
      </w:pPr>
      <w:r>
        <w:rPr>
          <w:rFonts w:hint="default" w:ascii="Nimbus Roman No9 L" w:hAnsi="Nimbus Roman No9 L" w:eastAsia="仿宋_GB2312" w:cs="Times New Roman"/>
          <w:sz w:val="32"/>
          <w:szCs w:val="32"/>
        </w:rPr>
        <w:t>5.经济效益指标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全社会研发投入（R&amp;D经费）强度保持全国前列</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全社会研发投入强度是衡量一个地区科技创新能力的重要指标</w:t>
      </w:r>
      <w:r>
        <w:rPr>
          <w:rFonts w:hint="default" w:ascii="Nimbus Roman No9 L" w:hAnsi="Nimbus Roman No9 L" w:eastAsia="仿宋_GB2312" w:cs="Times New Roman"/>
          <w:sz w:val="32"/>
          <w:szCs w:val="32"/>
          <w:lang w:eastAsia="zh-CN"/>
        </w:rPr>
        <w:t>，该指标是国家高质量发展综合绩效评价指标体系中的核心指标，同时也是国家营商环境中考核的指标之一</w:t>
      </w:r>
      <w:r>
        <w:rPr>
          <w:rFonts w:hint="default" w:ascii="Nimbus Roman No9 L" w:hAnsi="Nimbus Roman No9 L" w:eastAsia="仿宋_GB2312" w:cs="Times New Roman"/>
          <w:sz w:val="32"/>
          <w:szCs w:val="32"/>
        </w:rPr>
        <w:t>。通过政策实施，</w:t>
      </w:r>
      <w:r>
        <w:rPr>
          <w:rFonts w:hint="default" w:ascii="Nimbus Roman No9 L" w:hAnsi="Nimbus Roman No9 L" w:eastAsia="仿宋_GB2312" w:cs="Times New Roman"/>
          <w:sz w:val="32"/>
          <w:szCs w:val="32"/>
          <w:lang w:eastAsia="zh-CN"/>
        </w:rPr>
        <w:t>争取</w:t>
      </w:r>
      <w:r>
        <w:rPr>
          <w:rFonts w:hint="default" w:ascii="Nimbus Roman No9 L" w:hAnsi="Nimbus Roman No9 L" w:eastAsia="仿宋_GB2312" w:cs="Times New Roman"/>
          <w:sz w:val="32"/>
          <w:szCs w:val="32"/>
        </w:rPr>
        <w:t>我市全社会研发投入强度</w:t>
      </w:r>
      <w:r>
        <w:rPr>
          <w:rFonts w:hint="default" w:ascii="Nimbus Roman No9 L" w:hAnsi="Nimbus Roman No9 L" w:eastAsia="仿宋_GB2312" w:cs="Times New Roman"/>
          <w:sz w:val="32"/>
          <w:szCs w:val="32"/>
          <w:lang w:eastAsia="zh-CN"/>
        </w:rPr>
        <w:t>继续保持全国前列</w:t>
      </w:r>
      <w:r>
        <w:rPr>
          <w:rFonts w:hint="default" w:ascii="Nimbus Roman No9 L" w:hAnsi="Nimbus Roman No9 L"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rPr>
      </w:pPr>
      <w:r>
        <w:rPr>
          <w:rFonts w:hint="default" w:ascii="Nimbus Roman No9 L" w:hAnsi="Nimbus Roman No9 L" w:eastAsia="仿宋_GB2312" w:cs="Times New Roman"/>
          <w:sz w:val="32"/>
          <w:szCs w:val="32"/>
          <w:lang w:val="en-US" w:eastAsia="zh-CN"/>
        </w:rPr>
        <w:t>6</w:t>
      </w:r>
      <w:r>
        <w:rPr>
          <w:rFonts w:hint="default" w:ascii="Nimbus Roman No9 L" w:hAnsi="Nimbus Roman No9 L" w:eastAsia="仿宋_GB2312" w:cs="Times New Roman"/>
          <w:sz w:val="32"/>
          <w:szCs w:val="32"/>
        </w:rPr>
        <w:t>.服务对象满意度指标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落实企业研发投入政策，引导企业加大研发投入，对开展研发投入的企业给予专项资金补助，广泛开展政策宣讲和培训，不断优化补助申请手续、简化申报材料，为企业享受研发投入后补助政策做好服务，服务对象满意度≥98%。</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（二）项目绩效运行监控情况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rPr>
      </w:pPr>
      <w:r>
        <w:rPr>
          <w:rFonts w:hint="eastAsia" w:ascii="Nimbus Roman No9 L" w:hAnsi="Nimbus Roman No9 L" w:eastAsia="仿宋_GB2312" w:cs="Times New Roman"/>
          <w:sz w:val="32"/>
          <w:szCs w:val="32"/>
          <w:lang w:eastAsia="zh-CN"/>
        </w:rPr>
        <w:t>按要求做好项目绩效运行监控，推动项目落实。</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项目绩效自评情况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val="en-US" w:eastAsia="zh-CN"/>
        </w:rPr>
      </w:pPr>
      <w:r>
        <w:rPr>
          <w:rFonts w:hint="eastAsia" w:ascii="Nimbus Roman No9 L" w:hAnsi="Nimbus Roman No9 L" w:eastAsia="仿宋_GB2312" w:cs="Times New Roman"/>
          <w:sz w:val="32"/>
          <w:szCs w:val="32"/>
          <w:lang w:eastAsia="zh-CN"/>
        </w:rPr>
        <w:t>截止到</w:t>
      </w:r>
      <w:r>
        <w:rPr>
          <w:rFonts w:hint="eastAsia" w:ascii="Nimbus Roman No9 L" w:hAnsi="Nimbus Roman No9 L" w:eastAsia="仿宋_GB2312" w:cs="Times New Roman"/>
          <w:sz w:val="32"/>
          <w:szCs w:val="32"/>
          <w:lang w:val="en-US" w:eastAsia="zh-CN"/>
        </w:rPr>
        <w:t>2024年12月31日，各项指标完成情况如下：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val="en-US" w:eastAsia="zh-CN"/>
        </w:rPr>
      </w:pPr>
      <w:r>
        <w:rPr>
          <w:rFonts w:hint="eastAsia" w:ascii="Nimbus Roman No9 L" w:hAnsi="Nimbus Roman No9 L" w:eastAsia="仿宋_GB2312" w:cs="Times New Roman"/>
          <w:sz w:val="32"/>
          <w:szCs w:val="32"/>
          <w:lang w:val="en-US" w:eastAsia="zh-CN"/>
        </w:rPr>
        <w:t>1.</w:t>
      </w:r>
      <w:r>
        <w:rPr>
          <w:rFonts w:hint="default" w:ascii="Nimbus Roman No9 L" w:hAnsi="Nimbus Roman No9 L" w:eastAsia="仿宋_GB2312" w:cs="Times New Roman"/>
          <w:sz w:val="32"/>
          <w:szCs w:val="32"/>
        </w:rPr>
        <w:t>数量指标</w:t>
      </w:r>
      <w:r>
        <w:rPr>
          <w:rFonts w:hint="eastAsia" w:ascii="Nimbus Roman No9 L" w:hAnsi="Nimbus Roman No9 L" w:eastAsia="仿宋_GB2312" w:cs="Times New Roman"/>
          <w:sz w:val="32"/>
          <w:szCs w:val="32"/>
          <w:lang w:eastAsia="zh-CN"/>
        </w:rPr>
        <w:t>：申报政策的企业数量超过</w:t>
      </w:r>
      <w:r>
        <w:rPr>
          <w:rFonts w:hint="eastAsia" w:ascii="Nimbus Roman No9 L" w:hAnsi="Nimbus Roman No9 L" w:eastAsia="仿宋_GB2312" w:cs="Times New Roman"/>
          <w:sz w:val="32"/>
          <w:szCs w:val="32"/>
          <w:lang w:val="en-US" w:eastAsia="zh-CN"/>
        </w:rPr>
        <w:t>3900家。实际申报企业3879家，完成率99%以上，主要原因是实施择优补助政策后，企业预估不能进入补助名单而不参与申报。获得奖励资金的雏鹰企业数量超过1750家。实际获得补助的雏鹰企业为1804家，完成指标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eastAsia="zh-CN"/>
        </w:rPr>
      </w:pPr>
      <w:r>
        <w:rPr>
          <w:rFonts w:hint="default" w:ascii="Nimbus Roman No9 L" w:hAnsi="Nimbus Roman No9 L" w:eastAsia="仿宋_GB2312" w:cs="Times New Roman"/>
          <w:sz w:val="32"/>
          <w:szCs w:val="32"/>
        </w:rPr>
        <w:t>2.质量指标</w:t>
      </w:r>
      <w:r>
        <w:rPr>
          <w:rFonts w:hint="eastAsia" w:ascii="Nimbus Roman No9 L" w:hAnsi="Nimbus Roman No9 L" w:eastAsia="仿宋_GB2312" w:cs="Times New Roman"/>
          <w:sz w:val="32"/>
          <w:szCs w:val="32"/>
          <w:lang w:eastAsia="zh-CN"/>
        </w:rPr>
        <w:t>：</w:t>
      </w:r>
      <w:r>
        <w:rPr>
          <w:rFonts w:hint="eastAsia" w:ascii="Nimbus Roman No9 L" w:hAnsi="Nimbus Roman No9 L" w:eastAsia="仿宋_GB2312" w:cs="Times New Roman"/>
          <w:sz w:val="32"/>
          <w:szCs w:val="32"/>
          <w:lang w:val="en-US" w:eastAsia="zh-CN"/>
        </w:rPr>
        <w:t>全市享受研发费用加计扣除政策的企业和金额实现正增长。根据市税务局反馈的数据，全市享受研发费用加计扣除政策的企业和金额实现正增长</w:t>
      </w:r>
      <w:r>
        <w:rPr>
          <w:rFonts w:hint="default" w:ascii="Nimbus Roman No9 L" w:hAnsi="Nimbus Roman No9 L"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val="en-US" w:eastAsia="zh-CN"/>
        </w:rPr>
      </w:pPr>
      <w:r>
        <w:rPr>
          <w:rFonts w:hint="default" w:ascii="Nimbus Roman No9 L" w:hAnsi="Nimbus Roman No9 L" w:eastAsia="仿宋_GB2312" w:cs="Times New Roman"/>
          <w:sz w:val="32"/>
          <w:szCs w:val="32"/>
        </w:rPr>
        <w:t>3.时效指标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按照实施方案积极推进政策落实，</w:t>
      </w:r>
      <w:r>
        <w:rPr>
          <w:rFonts w:hint="eastAsia" w:ascii="Nimbus Roman No9 L" w:hAnsi="Nimbus Roman No9 L" w:eastAsia="仿宋_GB2312" w:cs="Times New Roman"/>
          <w:sz w:val="32"/>
          <w:szCs w:val="32"/>
          <w:lang w:val="en-US" w:eastAsia="zh-CN"/>
        </w:rPr>
        <w:t>年底前完成项目立项</w:t>
      </w:r>
      <w:r>
        <w:rPr>
          <w:rFonts w:hint="default" w:ascii="Nimbus Roman No9 L" w:hAnsi="Nimbus Roman No9 L" w:eastAsia="仿宋_GB2312" w:cs="Times New Roman"/>
          <w:sz w:val="32"/>
          <w:szCs w:val="32"/>
        </w:rPr>
        <w:t>。</w:t>
      </w:r>
      <w:r>
        <w:rPr>
          <w:rFonts w:hint="eastAsia" w:ascii="Nimbus Roman No9 L" w:hAnsi="Nimbus Roman No9 L" w:eastAsia="仿宋_GB2312" w:cs="Times New Roman"/>
          <w:sz w:val="32"/>
          <w:szCs w:val="32"/>
          <w:lang w:eastAsia="zh-CN"/>
        </w:rPr>
        <w:t>截止</w:t>
      </w:r>
      <w:r>
        <w:rPr>
          <w:rFonts w:hint="eastAsia" w:ascii="Nimbus Roman No9 L" w:hAnsi="Nimbus Roman No9 L" w:eastAsia="仿宋_GB2312" w:cs="Times New Roman"/>
          <w:sz w:val="32"/>
          <w:szCs w:val="32"/>
          <w:lang w:val="en-US" w:eastAsia="zh-CN"/>
        </w:rPr>
        <w:t>2024年12月31日，完成补助企业清单和补助金额公示，下达资金拨付计划。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lang w:val="en-US" w:eastAsia="zh-CN"/>
        </w:rPr>
      </w:pPr>
      <w:r>
        <w:rPr>
          <w:rFonts w:hint="default" w:ascii="Nimbus Roman No9 L" w:hAnsi="Nimbus Roman No9 L" w:eastAsia="仿宋_GB2312" w:cs="Times New Roman"/>
          <w:sz w:val="32"/>
          <w:szCs w:val="32"/>
        </w:rPr>
        <w:t>4.成本指标</w:t>
      </w:r>
      <w:r>
        <w:rPr>
          <w:rFonts w:hint="eastAsia" w:ascii="Nimbus Roman No9 L" w:hAnsi="Nimbus Roman No9 L" w:eastAsia="仿宋_GB2312" w:cs="Times New Roman"/>
          <w:sz w:val="32"/>
          <w:szCs w:val="32"/>
          <w:lang w:eastAsia="zh-CN"/>
        </w:rPr>
        <w:t>：财政预算控制在</w:t>
      </w:r>
      <w:r>
        <w:rPr>
          <w:rFonts w:hint="eastAsia" w:ascii="Nimbus Roman No9 L" w:hAnsi="Nimbus Roman No9 L" w:eastAsia="仿宋_GB2312" w:cs="Times New Roman"/>
          <w:sz w:val="32"/>
          <w:szCs w:val="32"/>
          <w:lang w:val="en-US" w:eastAsia="zh-CN"/>
        </w:rPr>
        <w:t>24357.23万。完成指标，完成下达资金拨付计划。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Nimbus Roman No9 L" w:hAnsi="Nimbus Roman No9 L" w:eastAsia="仿宋_GB2312" w:cs="Times New Roman"/>
          <w:sz w:val="32"/>
          <w:szCs w:val="32"/>
          <w:lang w:eastAsia="zh-CN"/>
        </w:rPr>
      </w:pPr>
      <w:r>
        <w:rPr>
          <w:rFonts w:hint="default" w:ascii="Nimbus Roman No9 L" w:hAnsi="Nimbus Roman No9 L" w:eastAsia="仿宋_GB2312" w:cs="Times New Roman"/>
          <w:sz w:val="32"/>
          <w:szCs w:val="32"/>
        </w:rPr>
        <w:t>5.经济效益指标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全社会研发投入（R&amp;D经费）强度保持全国前列</w:t>
      </w:r>
      <w:r>
        <w:rPr>
          <w:rFonts w:hint="eastAsia" w:ascii="Nimbus Roman No9 L" w:hAnsi="Nimbus Roman No9 L" w:eastAsia="仿宋_GB2312" w:cs="Times New Roman"/>
          <w:sz w:val="32"/>
          <w:szCs w:val="32"/>
          <w:lang w:eastAsia="zh-CN"/>
        </w:rPr>
        <w:t>。完成指标，我市研发投入强度持续保持全国前列。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Times New Roman"/>
          <w:sz w:val="32"/>
          <w:szCs w:val="32"/>
        </w:rPr>
      </w:pPr>
      <w:r>
        <w:rPr>
          <w:rFonts w:hint="default" w:ascii="Nimbus Roman No9 L" w:hAnsi="Nimbus Roman No9 L" w:eastAsia="仿宋_GB2312" w:cs="Times New Roman"/>
          <w:sz w:val="32"/>
          <w:szCs w:val="32"/>
          <w:lang w:val="en-US" w:eastAsia="zh-CN"/>
        </w:rPr>
        <w:t>6</w:t>
      </w:r>
      <w:r>
        <w:rPr>
          <w:rFonts w:hint="default" w:ascii="Nimbus Roman No9 L" w:hAnsi="Nimbus Roman No9 L" w:eastAsia="仿宋_GB2312" w:cs="Times New Roman"/>
          <w:sz w:val="32"/>
          <w:szCs w:val="32"/>
        </w:rPr>
        <w:t>.服务对象满意度指标</w:t>
      </w:r>
      <w:r>
        <w:rPr>
          <w:rFonts w:hint="eastAsia" w:ascii="Nimbus Roman No9 L" w:hAnsi="Nimbus Roman No9 L" w:eastAsia="仿宋_GB2312" w:cs="Times New Roman"/>
          <w:sz w:val="32"/>
          <w:szCs w:val="32"/>
          <w:lang w:eastAsia="zh-CN"/>
        </w:rPr>
        <w:t>：</w:t>
      </w:r>
      <w:r>
        <w:rPr>
          <w:rFonts w:hint="default" w:ascii="Nimbus Roman No9 L" w:hAnsi="Nimbus Roman No9 L" w:eastAsia="仿宋_GB2312" w:cs="Times New Roman"/>
          <w:sz w:val="32"/>
          <w:szCs w:val="32"/>
        </w:rPr>
        <w:t>落实企业研发投入政策，引导企业加大研发投入，对开展研发投入的企业给予专项资金补助，广泛开展政策宣讲和培训，不断优化补助申请手续、简化申报材料，为企业享受研发投入后补助政策做好服务，服务对象满意度≥98%。</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ascii="楷体_GB2312" w:hAnsi="Times New Roman" w:eastAsia="楷体_GB2312" w:cs="Times New Roman"/>
          <w:sz w:val="32"/>
          <w:szCs w:val="32"/>
        </w:rPr>
      </w:pPr>
      <w:r>
        <w:rPr>
          <w:rFonts w:hint="eastAsia" w:ascii="楷体_GB2312" w:hAnsi="Times New Roman" w:eastAsia="楷体_GB2312" w:cs="Times New Roman"/>
          <w:sz w:val="32"/>
          <w:szCs w:val="32"/>
        </w:rPr>
        <w:t>部门评价或财政评价工作开展情况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三</w:t>
      </w:r>
      <w:r>
        <w:rPr>
          <w:rFonts w:ascii="黑体" w:hAnsi="黑体" w:eastAsia="黑体" w:cs="Times New Roman"/>
          <w:sz w:val="32"/>
          <w:szCs w:val="32"/>
        </w:rPr>
        <w:t>、项目</w:t>
      </w:r>
      <w:r>
        <w:rPr>
          <w:rFonts w:hint="eastAsia" w:ascii="黑体" w:hAnsi="黑体" w:eastAsia="黑体" w:cs="Times New Roman"/>
          <w:sz w:val="32"/>
          <w:szCs w:val="32"/>
        </w:rPr>
        <w:t>可推广经验及关键</w:t>
      </w:r>
      <w:r>
        <w:rPr>
          <w:rFonts w:ascii="黑体" w:hAnsi="黑体" w:eastAsia="黑体" w:cs="Times New Roman"/>
          <w:sz w:val="32"/>
          <w:szCs w:val="32"/>
        </w:rPr>
        <w:t>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Nimbus Roman No9 L" w:hAnsi="Nimbus Roman No9 L" w:eastAsia="仿宋_GB2312" w:cs="Times New Roman"/>
          <w:sz w:val="32"/>
          <w:szCs w:val="32"/>
          <w:lang w:eastAsia="zh-CN"/>
        </w:rPr>
      </w:pPr>
      <w:r>
        <w:rPr>
          <w:rFonts w:hint="eastAsia" w:ascii="Nimbus Roman No9 L" w:hAnsi="Nimbus Roman No9 L" w:eastAsia="仿宋_GB2312" w:cs="Times New Roman"/>
          <w:sz w:val="32"/>
          <w:szCs w:val="32"/>
          <w:lang w:val="en-US" w:eastAsia="zh-CN"/>
        </w:rPr>
        <w:t>1.降低企业研发成本。通过实施研发投入后补助政策，</w:t>
      </w:r>
      <w:r>
        <w:rPr>
          <w:rFonts w:hint="eastAsia" w:ascii="Nimbus Roman No9 L" w:hAnsi="Nimbus Roman No9 L" w:eastAsia="仿宋_GB2312" w:cs="Times New Roman"/>
          <w:sz w:val="32"/>
          <w:szCs w:val="32"/>
        </w:rPr>
        <w:t>帮助企业降低了科研成本，激发企业创新动力，助力企业达成年度科技目标，同时科研成果的转化一定程度上助力天津市经济增长</w:t>
      </w:r>
      <w:r>
        <w:rPr>
          <w:rFonts w:hint="eastAsia" w:ascii="Nimbus Roman No9 L" w:hAnsi="Nimbus Roman No9 L"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Times New Roman" w:hAnsi="Times New Roman" w:eastAsia="仿宋_GB2312" w:cs="Times New Roman"/>
          <w:i/>
          <w:iCs/>
          <w:sz w:val="24"/>
          <w:szCs w:val="24"/>
        </w:rPr>
      </w:pPr>
      <w:r>
        <w:rPr>
          <w:rFonts w:hint="eastAsia" w:ascii="Nimbus Roman No9 L" w:hAnsi="Nimbus Roman No9 L" w:eastAsia="仿宋_GB2312" w:cs="Times New Roman"/>
          <w:sz w:val="32"/>
          <w:szCs w:val="32"/>
          <w:lang w:val="en-US" w:eastAsia="zh-CN"/>
        </w:rPr>
        <w:t>2.引导企业加大研发投入。</w:t>
      </w:r>
      <w:r>
        <w:rPr>
          <w:rFonts w:hint="eastAsia" w:ascii="Nimbus Roman No9 L" w:hAnsi="Nimbus Roman No9 L" w:eastAsia="仿宋_GB2312" w:cs="Times New Roman"/>
          <w:sz w:val="32"/>
          <w:szCs w:val="32"/>
        </w:rPr>
        <w:t>2020年至2022年，天津市企业研发经费投入</w:t>
      </w:r>
      <w:r>
        <w:rPr>
          <w:rFonts w:hint="eastAsia" w:ascii="Nimbus Roman No9 L" w:hAnsi="Nimbus Roman No9 L" w:eastAsia="仿宋_GB2312" w:cs="Times New Roman"/>
          <w:sz w:val="32"/>
          <w:szCs w:val="32"/>
          <w:lang w:eastAsia="zh-CN"/>
        </w:rPr>
        <w:t>持续增长，</w:t>
      </w:r>
      <w:r>
        <w:rPr>
          <w:rFonts w:hint="eastAsia" w:ascii="Nimbus Roman No9 L" w:hAnsi="Nimbus Roman No9 L" w:eastAsia="仿宋_GB2312" w:cs="Times New Roman"/>
          <w:sz w:val="32"/>
          <w:szCs w:val="32"/>
        </w:rPr>
        <w:t>带动天津市全社会研发投入强度连续多年增长，持续保持全国第三名。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四</w:t>
      </w:r>
      <w:r>
        <w:rPr>
          <w:rFonts w:ascii="黑体" w:hAnsi="黑体" w:eastAsia="黑体" w:cs="Times New Roman"/>
          <w:sz w:val="32"/>
          <w:szCs w:val="32"/>
        </w:rPr>
        <w:t>、存在的主要问题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hint="eastAsia" w:ascii="Times New Roman" w:hAnsi="Times New Roman" w:eastAsia="仿宋_GB2312" w:cs="Times New Roman"/>
          <w:i/>
          <w:iCs/>
          <w:sz w:val="24"/>
          <w:szCs w:val="24"/>
        </w:rPr>
      </w:pPr>
      <w:r>
        <w:rPr>
          <w:rFonts w:hint="eastAsia" w:ascii="Times New Roman" w:hAnsi="Times New Roman" w:eastAsia="仿宋_GB2312" w:cs="Times New Roman"/>
          <w:b/>
          <w:bCs/>
          <w:sz w:val="32"/>
          <w:szCs w:val="32"/>
          <w:lang w:val="en-US" w:eastAsia="zh-CN"/>
        </w:rPr>
        <w:t>区科技部门</w:t>
      </w:r>
      <w:r>
        <w:rPr>
          <w:rFonts w:hint="default" w:ascii="Times New Roman" w:hAnsi="Times New Roman" w:eastAsia="仿宋_GB2312" w:cs="Times New Roman"/>
          <w:b/>
          <w:bCs/>
          <w:sz w:val="32"/>
          <w:szCs w:val="32"/>
          <w:lang w:val="en-US" w:eastAsia="zh-CN"/>
        </w:rPr>
        <w:t>补助经费兑现</w:t>
      </w:r>
      <w:r>
        <w:rPr>
          <w:rFonts w:hint="eastAsia" w:ascii="Times New Roman" w:hAnsi="Times New Roman" w:eastAsia="仿宋_GB2312" w:cs="Times New Roman"/>
          <w:b/>
          <w:bCs/>
          <w:sz w:val="32"/>
          <w:szCs w:val="32"/>
          <w:lang w:val="en-US" w:eastAsia="zh-CN"/>
        </w:rPr>
        <w:t>相对</w:t>
      </w:r>
      <w:r>
        <w:rPr>
          <w:rFonts w:hint="default" w:ascii="Times New Roman" w:hAnsi="Times New Roman" w:eastAsia="仿宋_GB2312" w:cs="Times New Roman"/>
          <w:b/>
          <w:bCs/>
          <w:sz w:val="32"/>
          <w:szCs w:val="32"/>
          <w:lang w:val="en-US" w:eastAsia="zh-CN"/>
        </w:rPr>
        <w:t>迟缓</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由于近几年各区财政资金紧张，存在普遍拖欠企业补助款的问题，在市级财政资金转移支付至区里后，区里未及时拨付至企业。</w:t>
      </w:r>
    </w:p>
    <w:p>
      <w:pPr>
        <w:keepNext w:val="0"/>
        <w:keepLines w:val="0"/>
        <w:pageBreakBefore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仿宋_GB2312" w:cs="Times New Roman"/>
          <w:i/>
          <w:iCs/>
          <w:sz w:val="24"/>
          <w:szCs w:val="24"/>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五</w:t>
      </w:r>
      <w:r>
        <w:rPr>
          <w:rFonts w:ascii="黑体" w:hAnsi="黑体" w:eastAsia="黑体" w:cs="Times New Roman"/>
          <w:sz w:val="32"/>
          <w:szCs w:val="32"/>
        </w:rPr>
        <w:t>、改进</w:t>
      </w:r>
      <w:r>
        <w:rPr>
          <w:rFonts w:hint="eastAsia" w:ascii="黑体" w:hAnsi="黑体" w:eastAsia="黑体" w:cs="Times New Roman"/>
          <w:sz w:val="32"/>
          <w:szCs w:val="32"/>
        </w:rPr>
        <w:t>举措</w:t>
      </w:r>
    </w:p>
    <w:p>
      <w:pPr>
        <w:keepNext w:val="0"/>
        <w:keepLines w:val="0"/>
        <w:pageBreakBefore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仿宋_GB2312" w:cs="Times New Roman"/>
          <w:i/>
          <w:iCs/>
          <w:sz w:val="24"/>
          <w:szCs w:val="24"/>
        </w:rPr>
      </w:pPr>
      <w:r>
        <w:rPr>
          <w:rFonts w:hint="default" w:ascii="Times New Roman" w:hAnsi="Times New Roman" w:eastAsia="仿宋_GB2312" w:cs="Times New Roman"/>
          <w:b/>
          <w:bCs/>
          <w:color w:val="auto"/>
          <w:sz w:val="32"/>
          <w:szCs w:val="32"/>
          <w:lang w:val="en-US" w:eastAsia="zh-CN"/>
        </w:rPr>
        <w:t>持续督促各区补助资金拨付到位。</w:t>
      </w:r>
      <w:r>
        <w:rPr>
          <w:rFonts w:hint="default" w:ascii="Times New Roman" w:hAnsi="Times New Roman" w:eastAsia="仿宋_GB2312" w:cs="Times New Roman"/>
          <w:color w:val="auto"/>
          <w:sz w:val="32"/>
          <w:szCs w:val="32"/>
          <w:lang w:val="en-US" w:eastAsia="zh-CN"/>
        </w:rPr>
        <w:t>与市财政部门建立实时沟通机制，确保信息畅通，及时了解各区、功能区的补助资金拨付情况。对于进度滞后的单位，加强督促，确保资金及时到位。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Times New Roman"/>
          <w:sz w:val="32"/>
          <w:szCs w:val="32"/>
        </w:rPr>
      </w:pPr>
      <w:r>
        <w:rPr>
          <w:rFonts w:hint="eastAsia" w:ascii="黑体" w:hAnsi="黑体" w:eastAsia="黑体" w:cs="Times New Roman"/>
          <w:sz w:val="32"/>
          <w:szCs w:val="32"/>
        </w:rPr>
        <w:t>六</w:t>
      </w:r>
      <w:r>
        <w:rPr>
          <w:rFonts w:ascii="黑体" w:hAnsi="黑体" w:eastAsia="黑体" w:cs="Times New Roman"/>
          <w:sz w:val="32"/>
          <w:szCs w:val="32"/>
        </w:rPr>
        <w:t>、需要说明的其他问题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无。</w:t>
      </w:r>
    </w:p>
    <w:p>
      <w:pPr>
        <w:keepNext w:val="0"/>
        <w:keepLines w:val="0"/>
        <w:pageBreakBefore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仿宋_GB2312" w:cs="Times New Roman"/>
          <w:b/>
          <w:bCs/>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附件</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cs="Times New Roman"/>
          <w:sz w:val="32"/>
          <w:szCs w:val="32"/>
          <w:lang w:eastAsia="zh-CN"/>
        </w:rPr>
        <w:t>企业研发投入后补助</w:t>
      </w:r>
      <w:r>
        <w:rPr>
          <w:rFonts w:hint="eastAsia" w:ascii="Times New Roman" w:hAnsi="Times New Roman" w:eastAsia="仿宋_GB2312" w:cs="Times New Roman"/>
          <w:sz w:val="32"/>
          <w:szCs w:val="32"/>
        </w:rPr>
        <w:t>转移支付资金项目绩效自评表</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default" w:ascii="Nimbus Roman No9 L" w:hAnsi="Nimbus Roman No9 L" w:cs="Nimbus Roman No9 L"/>
          <w:sz w:val="30"/>
          <w:szCs w:val="30"/>
        </w:rPr>
      </w:pPr>
      <w:bookmarkStart w:id="0" w:name="_GoBack"/>
      <w:bookmarkEnd w:id="0"/>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roman"/>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91B61"/>
    <w:multiLevelType w:val="singleLevel"/>
    <w:tmpl w:val="E7291B6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true"/>
  <w:bordersDoNotSurroundFooter w:val="true"/>
  <w:doNotTrackMoves/>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20084"/>
    <w:rsid w:val="000732DA"/>
    <w:rsid w:val="00075CDC"/>
    <w:rsid w:val="000B1E8F"/>
    <w:rsid w:val="00103D16"/>
    <w:rsid w:val="00164D84"/>
    <w:rsid w:val="001D628A"/>
    <w:rsid w:val="00250053"/>
    <w:rsid w:val="00287C3C"/>
    <w:rsid w:val="0039432D"/>
    <w:rsid w:val="003C6374"/>
    <w:rsid w:val="00415F7C"/>
    <w:rsid w:val="004531B5"/>
    <w:rsid w:val="00785AF7"/>
    <w:rsid w:val="007A1DC2"/>
    <w:rsid w:val="008A20F2"/>
    <w:rsid w:val="00AA2B82"/>
    <w:rsid w:val="00CC152C"/>
    <w:rsid w:val="00D63908"/>
    <w:rsid w:val="00DD09A2"/>
    <w:rsid w:val="00DD16E3"/>
    <w:rsid w:val="00ED6D53"/>
    <w:rsid w:val="00F437B4"/>
    <w:rsid w:val="00F57F82"/>
    <w:rsid w:val="00F75963"/>
    <w:rsid w:val="00FA357A"/>
    <w:rsid w:val="02C86339"/>
    <w:rsid w:val="037D0BC8"/>
    <w:rsid w:val="060C7BB2"/>
    <w:rsid w:val="0845082D"/>
    <w:rsid w:val="096A663E"/>
    <w:rsid w:val="09E965F2"/>
    <w:rsid w:val="0A87714B"/>
    <w:rsid w:val="0BCE8248"/>
    <w:rsid w:val="0FFFAAC1"/>
    <w:rsid w:val="10CE1DC4"/>
    <w:rsid w:val="11D7196B"/>
    <w:rsid w:val="139840D3"/>
    <w:rsid w:val="143E091F"/>
    <w:rsid w:val="14865FC8"/>
    <w:rsid w:val="150C2DB0"/>
    <w:rsid w:val="1A0148BB"/>
    <w:rsid w:val="1CE94882"/>
    <w:rsid w:val="1CFFA817"/>
    <w:rsid w:val="1E761F05"/>
    <w:rsid w:val="1FC7205C"/>
    <w:rsid w:val="228B3D05"/>
    <w:rsid w:val="25FE8923"/>
    <w:rsid w:val="286D5E37"/>
    <w:rsid w:val="291078F3"/>
    <w:rsid w:val="2FBF7082"/>
    <w:rsid w:val="38EF7AD8"/>
    <w:rsid w:val="3A9E278B"/>
    <w:rsid w:val="3B5E025F"/>
    <w:rsid w:val="3C5E2926"/>
    <w:rsid w:val="3DBBD6B4"/>
    <w:rsid w:val="3E1672E6"/>
    <w:rsid w:val="3EDB2092"/>
    <w:rsid w:val="3EFF9E0B"/>
    <w:rsid w:val="3F8B9240"/>
    <w:rsid w:val="3FBF2D69"/>
    <w:rsid w:val="415F08D8"/>
    <w:rsid w:val="433B52D2"/>
    <w:rsid w:val="44E2230F"/>
    <w:rsid w:val="45A33B2F"/>
    <w:rsid w:val="46F9107C"/>
    <w:rsid w:val="48B51347"/>
    <w:rsid w:val="4A55216A"/>
    <w:rsid w:val="4BF54B52"/>
    <w:rsid w:val="4E1B211C"/>
    <w:rsid w:val="4EFD5BFE"/>
    <w:rsid w:val="4FE0696A"/>
    <w:rsid w:val="51FD19E1"/>
    <w:rsid w:val="52EE7CB0"/>
    <w:rsid w:val="55673508"/>
    <w:rsid w:val="57FCC004"/>
    <w:rsid w:val="59595A6F"/>
    <w:rsid w:val="599330CA"/>
    <w:rsid w:val="59D55F14"/>
    <w:rsid w:val="5B0D23FC"/>
    <w:rsid w:val="5BFB0F68"/>
    <w:rsid w:val="5DB076C2"/>
    <w:rsid w:val="5E616EC0"/>
    <w:rsid w:val="5F76F0C1"/>
    <w:rsid w:val="5FDE3D12"/>
    <w:rsid w:val="60D5009F"/>
    <w:rsid w:val="61DBDF58"/>
    <w:rsid w:val="660721C9"/>
    <w:rsid w:val="661E6C75"/>
    <w:rsid w:val="67F75FF5"/>
    <w:rsid w:val="681D4831"/>
    <w:rsid w:val="692E4B19"/>
    <w:rsid w:val="69513EF7"/>
    <w:rsid w:val="6BF3256F"/>
    <w:rsid w:val="6CE7018A"/>
    <w:rsid w:val="6E3E3F2D"/>
    <w:rsid w:val="6FCFD4BB"/>
    <w:rsid w:val="6FDF08E7"/>
    <w:rsid w:val="715B2F02"/>
    <w:rsid w:val="716D0097"/>
    <w:rsid w:val="71F5E8EA"/>
    <w:rsid w:val="74E018B8"/>
    <w:rsid w:val="76A548F2"/>
    <w:rsid w:val="7765772E"/>
    <w:rsid w:val="77867685"/>
    <w:rsid w:val="77F04540"/>
    <w:rsid w:val="781F36B6"/>
    <w:rsid w:val="790627AD"/>
    <w:rsid w:val="7ADC59FA"/>
    <w:rsid w:val="7BB71159"/>
    <w:rsid w:val="7CD836C4"/>
    <w:rsid w:val="7D16F29D"/>
    <w:rsid w:val="7DBDD65E"/>
    <w:rsid w:val="7DBF21E3"/>
    <w:rsid w:val="7DDD794F"/>
    <w:rsid w:val="7F6F721B"/>
    <w:rsid w:val="7FED9F9F"/>
    <w:rsid w:val="7FFB0E12"/>
    <w:rsid w:val="9FFF3766"/>
    <w:rsid w:val="B7F7950F"/>
    <w:rsid w:val="BECF1CFC"/>
    <w:rsid w:val="CA49ADC2"/>
    <w:rsid w:val="CADDA160"/>
    <w:rsid w:val="D2BD8B47"/>
    <w:rsid w:val="D6DD4E90"/>
    <w:rsid w:val="D7FBE5FA"/>
    <w:rsid w:val="DFDF27BD"/>
    <w:rsid w:val="DFFFC64A"/>
    <w:rsid w:val="E8E39833"/>
    <w:rsid w:val="EBCEF170"/>
    <w:rsid w:val="EF8574AB"/>
    <w:rsid w:val="F1A7643A"/>
    <w:rsid w:val="F57B6F99"/>
    <w:rsid w:val="F76F2F4C"/>
    <w:rsid w:val="F7DFB8FF"/>
    <w:rsid w:val="F8DBBE3A"/>
    <w:rsid w:val="FA7DCE76"/>
    <w:rsid w:val="FAEFC359"/>
    <w:rsid w:val="FB5ECFCA"/>
    <w:rsid w:val="FEAF114B"/>
    <w:rsid w:val="FEBF0180"/>
    <w:rsid w:val="FEDC2866"/>
    <w:rsid w:val="FEED1334"/>
    <w:rsid w:val="FF2CE618"/>
    <w:rsid w:val="FFC601BD"/>
    <w:rsid w:val="FFFF4D28"/>
    <w:rsid w:val="FFFF845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alloon Text"/>
    <w:basedOn w:val="1"/>
    <w:link w:val="10"/>
    <w:qFormat/>
    <w:uiPriority w:val="0"/>
    <w:rPr>
      <w:sz w:val="18"/>
      <w:szCs w:val="18"/>
    </w:rPr>
  </w:style>
  <w:style w:type="paragraph" w:styleId="4">
    <w:name w:val="footer"/>
    <w:basedOn w:val="1"/>
    <w:link w:val="8"/>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qFormat/>
    <w:uiPriority w:val="99"/>
    <w:rPr>
      <w:rFonts w:eastAsia="仿宋_GB2312"/>
      <w:kern w:val="2"/>
      <w:sz w:val="18"/>
      <w:szCs w:val="18"/>
    </w:rPr>
  </w:style>
  <w:style w:type="character" w:customStyle="1" w:styleId="9">
    <w:name w:val="页眉 Char"/>
    <w:basedOn w:val="7"/>
    <w:link w:val="5"/>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89</Words>
  <Characters>511</Characters>
  <Lines>4</Lines>
  <Paragraphs>1</Paragraphs>
  <TotalTime>2</TotalTime>
  <ScaleCrop>false</ScaleCrop>
  <LinksUpToDate>false</LinksUpToDate>
  <CharactersWithSpaces>599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2011-03-09T00:16:00Z</dcterms:created>
  <dc:creator>lhn</dc:creator>
  <cp:lastModifiedBy>麻淼磊</cp:lastModifiedBy>
  <cp:lastPrinted>2025-04-29T15:28:40Z</cp:lastPrinted>
  <dcterms:modified xsi:type="dcterms:W3CDTF">2025-04-29T15:31:46Z</dcterms:modified>
  <dc:title>财政支出绩效评价报告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