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cs="Nimbus Roman No9 L"/>
          <w:bCs/>
          <w:sz w:val="32"/>
          <w:szCs w:val="40"/>
        </w:rPr>
      </w:pP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eastAsia="方正小标宋简体" w:cs="Nimbus Roman No9 L"/>
          <w:b w:val="0"/>
          <w:bCs/>
          <w:sz w:val="36"/>
          <w:szCs w:val="36"/>
        </w:rPr>
      </w:pPr>
      <w:r>
        <w:rPr>
          <w:rFonts w:hint="default" w:ascii="Nimbus Roman No9 L" w:hAnsi="Nimbus Roman No9 L" w:eastAsia="方正小标宋简体" w:cs="Nimbus Roman No9 L"/>
          <w:b w:val="0"/>
          <w:bCs/>
          <w:sz w:val="36"/>
          <w:szCs w:val="36"/>
          <w:lang w:val="en-US" w:eastAsia="zh-CN"/>
        </w:rPr>
        <w:t>高新技术企业奖励</w:t>
      </w:r>
      <w:r>
        <w:rPr>
          <w:rFonts w:hint="default" w:ascii="Nimbus Roman No9 L" w:hAnsi="Nimbus Roman No9 L" w:eastAsia="方正小标宋简体" w:cs="Nimbus Roman No9 L"/>
          <w:b w:val="0"/>
          <w:bCs/>
          <w:sz w:val="36"/>
          <w:szCs w:val="36"/>
        </w:rPr>
        <w:t>转移支付</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eastAsia="方正小标宋简体" w:cs="Nimbus Roman No9 L"/>
          <w:b w:val="0"/>
          <w:bCs/>
          <w:sz w:val="36"/>
          <w:szCs w:val="36"/>
        </w:rPr>
      </w:pPr>
      <w:r>
        <w:rPr>
          <w:rFonts w:hint="default" w:ascii="Nimbus Roman No9 L" w:hAnsi="Nimbus Roman No9 L" w:eastAsia="方正小标宋简体" w:cs="Nimbus Roman No9 L"/>
          <w:b w:val="0"/>
          <w:bCs/>
          <w:sz w:val="36"/>
          <w:szCs w:val="36"/>
          <w:lang w:val="en-US" w:eastAsia="zh-CN"/>
        </w:rPr>
        <w:t>2024</w:t>
      </w:r>
      <w:r>
        <w:rPr>
          <w:rFonts w:hint="default" w:ascii="Nimbus Roman No9 L" w:hAnsi="Nimbus Roman No9 L" w:eastAsia="方正小标宋简体" w:cs="Nimbus Roman No9 L"/>
          <w:b w:val="0"/>
          <w:bCs/>
          <w:sz w:val="36"/>
          <w:szCs w:val="36"/>
        </w:rPr>
        <w:t>年度绩效自评报告</w:t>
      </w:r>
    </w:p>
    <w:p>
      <w:pPr>
        <w:keepNext w:val="0"/>
        <w:keepLines w:val="0"/>
        <w:pageBreakBefore w:val="0"/>
        <w:widowControl w:val="0"/>
        <w:kinsoku/>
        <w:wordWrap/>
        <w:overflowPunct/>
        <w:topLinePunct w:val="0"/>
        <w:autoSpaceDE/>
        <w:autoSpaceDN/>
        <w:bidi w:val="0"/>
        <w:adjustRightInd/>
        <w:snapToGrid w:val="0"/>
        <w:spacing w:line="580" w:lineRule="exact"/>
        <w:jc w:val="center"/>
        <w:textAlignment w:val="auto"/>
        <w:rPr>
          <w:rFonts w:hint="default" w:ascii="Nimbus Roman No9 L" w:hAnsi="Nimbus Roman No9 L" w:cs="Nimbus Roman No9 L"/>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（一）项目基本情况。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1.项目实施背景</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Nimbus Roman No9 L" w:hAnsi="Nimbus Roman No9 L" w:eastAsia="仿宋_GB2312" w:cs="Nimbus Roman No9 L"/>
          <w:sz w:val="32"/>
          <w:szCs w:val="32"/>
          <w:highlight w:val="none"/>
          <w:lang w:val="en-US" w:eastAsia="zh-CN"/>
        </w:rPr>
      </w:pPr>
      <w:r>
        <w:rPr>
          <w:rFonts w:hint="default" w:ascii="Nimbus Roman No9 L" w:hAnsi="Nimbus Roman No9 L" w:eastAsia="仿宋_GB2312" w:cs="Nimbus Roman No9 L"/>
          <w:sz w:val="32"/>
          <w:szCs w:val="32"/>
          <w:highlight w:val="none"/>
          <w:lang w:val="en-US" w:eastAsia="zh-CN"/>
        </w:rPr>
        <w:t>为加大对科技型企业特别是中小企业的政策扶持，</w:t>
      </w:r>
      <w:r>
        <w:rPr>
          <w:rFonts w:hint="default" w:ascii="Nimbus Roman No9 L" w:hAnsi="Nimbus Roman No9 L" w:eastAsia="Nimbus Roman No9 L" w:cs="Nimbus Roman No9 L"/>
          <w:sz w:val="32"/>
          <w:szCs w:val="32"/>
          <w:highlight w:val="none"/>
          <w:lang w:val="en-US" w:eastAsia="zh-CN"/>
        </w:rPr>
        <w:t>2016</w:t>
      </w:r>
      <w:r>
        <w:rPr>
          <w:rFonts w:hint="default" w:ascii="Nimbus Roman No9 L" w:hAnsi="Nimbus Roman No9 L" w:eastAsia="仿宋_GB2312" w:cs="Nimbus Roman No9 L"/>
          <w:sz w:val="32"/>
          <w:szCs w:val="32"/>
          <w:highlight w:val="none"/>
          <w:lang w:val="en-US" w:eastAsia="zh-CN"/>
        </w:rPr>
        <w:t>年，科技部、财政部和税务总局联合重新修订了《高新技术企业认定管理办法》（国科发火〔2016〕32号）及《高新技术企业认定管理工作指引》（国科发火〔2016〕195号），科技部、财政部、税务总局组成全国高新技术企业认定管理工作领导小组，办公室设在科技部（火炬中心），并规范了认定条件与程序，是全国各省市高企认定的政策依据。天津市高企认定机构由市科技局、市财政局、市税务局构成，负责天津市高企认定工作，办公室设在市科技局。</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2.项目实施内容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napToGrid w:val="0"/>
          <w:kern w:val="0"/>
          <w:sz w:val="32"/>
          <w:szCs w:val="32"/>
          <w:highlight w:val="none"/>
          <w:lang w:val="en-US" w:eastAsia="zh-CN"/>
        </w:rPr>
      </w:pPr>
      <w:r>
        <w:rPr>
          <w:rFonts w:hint="default" w:ascii="Nimbus Roman No9 L" w:hAnsi="Nimbus Roman No9 L" w:eastAsia="仿宋_GB2312" w:cs="Nimbus Roman No9 L"/>
          <w:snapToGrid w:val="0"/>
          <w:kern w:val="0"/>
          <w:sz w:val="32"/>
          <w:szCs w:val="32"/>
          <w:highlight w:val="none"/>
          <w:lang w:eastAsia="zh-CN"/>
        </w:rPr>
        <w:t>实施期：</w:t>
      </w:r>
      <w:r>
        <w:rPr>
          <w:rFonts w:hint="default" w:ascii="Nimbus Roman No9 L" w:hAnsi="Nimbus Roman No9 L" w:eastAsia="仿宋_GB2312" w:cs="Nimbus Roman No9 L"/>
          <w:snapToGrid w:val="0"/>
          <w:kern w:val="0"/>
          <w:sz w:val="32"/>
          <w:szCs w:val="32"/>
          <w:highlight w:val="none"/>
          <w:lang w:val="en-US" w:eastAsia="zh-CN"/>
        </w:rPr>
        <w:t>2024年1月-12月。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snapToGrid w:val="0"/>
          <w:kern w:val="0"/>
          <w:sz w:val="32"/>
          <w:szCs w:val="32"/>
          <w:highlight w:val="none"/>
        </w:rPr>
      </w:pPr>
      <w:r>
        <w:rPr>
          <w:rFonts w:hint="default" w:ascii="Nimbus Roman No9 L" w:hAnsi="Nimbus Roman No9 L" w:eastAsia="仿宋_GB2312" w:cs="Nimbus Roman No9 L"/>
          <w:snapToGrid w:val="0"/>
          <w:kern w:val="0"/>
          <w:sz w:val="32"/>
          <w:szCs w:val="32"/>
          <w:highlight w:val="none"/>
          <w:lang w:val="en-US" w:eastAsia="zh-CN"/>
        </w:rPr>
        <w:t>实施内容：</w:t>
      </w:r>
      <w:r>
        <w:rPr>
          <w:rFonts w:hint="default" w:ascii="Nimbus Roman No9 L" w:hAnsi="Nimbus Roman No9 L" w:eastAsia="仿宋_GB2312" w:cs="Nimbus Roman No9 L"/>
          <w:sz w:val="32"/>
          <w:szCs w:val="32"/>
          <w:highlight w:val="none"/>
          <w:lang w:val="en-US" w:eastAsia="zh-CN"/>
        </w:rPr>
        <w:t>为深入实施创新驱动发展战略，促进我市科技创新实力快速提升，推进经济高质量发展，2020年3月，市政府印发了“天津市新动能引育五年行动计划”，2020年4月，我市出台了天津市</w:t>
      </w:r>
      <w:r>
        <w:rPr>
          <w:rFonts w:hint="default" w:ascii="Nimbus Roman No9 L" w:hAnsi="Nimbus Roman No9 L" w:eastAsia="仿宋_GB2312" w:cs="Nimbus Roman No9 L"/>
          <w:sz w:val="32"/>
          <w:szCs w:val="32"/>
          <w:highlight w:val="none"/>
          <w:lang w:val="en" w:eastAsia="zh-CN"/>
        </w:rPr>
        <w:t>高企</w:t>
      </w:r>
      <w:r>
        <w:rPr>
          <w:rFonts w:hint="default" w:ascii="Nimbus Roman No9 L" w:hAnsi="Nimbus Roman No9 L" w:eastAsia="仿宋_GB2312" w:cs="Nimbus Roman No9 L"/>
          <w:sz w:val="32"/>
          <w:szCs w:val="32"/>
          <w:highlight w:val="none"/>
          <w:lang w:val="en-US" w:eastAsia="zh-CN"/>
        </w:rPr>
        <w:t>倍增行动计划，并</w:t>
      </w:r>
      <w:r>
        <w:rPr>
          <w:rFonts w:hint="default" w:ascii="Nimbus Roman No9 L" w:hAnsi="Nimbus Roman No9 L" w:eastAsia="仿宋_GB2312" w:cs="Nimbus Roman No9 L"/>
          <w:snapToGrid w:val="0"/>
          <w:kern w:val="0"/>
          <w:sz w:val="32"/>
          <w:szCs w:val="32"/>
          <w:highlight w:val="none"/>
          <w:lang w:eastAsia="zh-CN"/>
        </w:rPr>
        <w:t>印发了</w:t>
      </w:r>
      <w:r>
        <w:rPr>
          <w:rFonts w:hint="default" w:ascii="Nimbus Roman No9 L" w:hAnsi="Nimbus Roman No9 L" w:eastAsia="仿宋_GB2312" w:cs="Nimbus Roman No9 L"/>
          <w:sz w:val="32"/>
          <w:szCs w:val="32"/>
          <w:highlight w:val="none"/>
          <w:lang w:val="en-US" w:eastAsia="zh-CN"/>
        </w:rPr>
        <w:t>《</w:t>
      </w:r>
      <w:r>
        <w:rPr>
          <w:rFonts w:hint="default" w:ascii="Nimbus Roman No9 L" w:hAnsi="Nimbus Roman No9 L" w:eastAsia="仿宋_GB2312" w:cs="Nimbus Roman No9 L"/>
          <w:sz w:val="32"/>
          <w:szCs w:val="32"/>
          <w:highlight w:val="none"/>
          <w:lang w:eastAsia="zh-CN"/>
        </w:rPr>
        <w:t>天津市</w:t>
      </w:r>
      <w:r>
        <w:rPr>
          <w:rFonts w:hint="default" w:ascii="Nimbus Roman No9 L" w:hAnsi="Nimbus Roman No9 L" w:eastAsia="仿宋_GB2312" w:cs="Nimbus Roman No9 L"/>
          <w:sz w:val="32"/>
          <w:szCs w:val="32"/>
          <w:highlight w:val="none"/>
          <w:lang w:val="en" w:eastAsia="zh-CN"/>
        </w:rPr>
        <w:t>高企</w:t>
      </w:r>
      <w:r>
        <w:rPr>
          <w:rFonts w:hint="default" w:ascii="Nimbus Roman No9 L" w:hAnsi="Nimbus Roman No9 L" w:eastAsia="仿宋_GB2312" w:cs="Nimbus Roman No9 L"/>
          <w:sz w:val="32"/>
          <w:szCs w:val="32"/>
          <w:highlight w:val="none"/>
          <w:lang w:eastAsia="zh-CN"/>
        </w:rPr>
        <w:t>认定奖励实施方案》（以下简称《实施方案》），</w:t>
      </w:r>
      <w:r>
        <w:rPr>
          <w:rFonts w:hint="default" w:ascii="Nimbus Roman No9 L" w:hAnsi="Nimbus Roman No9 L" w:eastAsia="仿宋_GB2312" w:cs="Nimbus Roman No9 L"/>
          <w:sz w:val="32"/>
          <w:szCs w:val="32"/>
          <w:highlight w:val="none"/>
          <w:lang w:val="en-US" w:eastAsia="zh-CN"/>
        </w:rPr>
        <w:t>对首次通过认定、整体迁入天津市的</w:t>
      </w:r>
      <w:r>
        <w:rPr>
          <w:rFonts w:hint="default" w:ascii="Nimbus Roman No9 L" w:hAnsi="Nimbus Roman No9 L" w:eastAsia="仿宋_GB2312" w:cs="Nimbus Roman No9 L"/>
          <w:sz w:val="32"/>
          <w:szCs w:val="32"/>
          <w:highlight w:val="none"/>
          <w:lang w:val="en" w:eastAsia="zh-CN"/>
        </w:rPr>
        <w:t>高企</w:t>
      </w:r>
      <w:r>
        <w:rPr>
          <w:rFonts w:hint="default" w:ascii="Nimbus Roman No9 L" w:hAnsi="Nimbus Roman No9 L" w:eastAsia="仿宋_GB2312" w:cs="Nimbus Roman No9 L"/>
          <w:sz w:val="32"/>
          <w:szCs w:val="32"/>
          <w:highlight w:val="none"/>
          <w:lang w:val="en-US" w:eastAsia="zh-CN"/>
        </w:rPr>
        <w:t>，按照规模大小给予30万至50万元支持；对</w:t>
      </w:r>
      <w:r>
        <w:rPr>
          <w:rFonts w:hint="default" w:ascii="Nimbus Roman No9 L" w:hAnsi="Nimbus Roman No9 L" w:eastAsia="仿宋_GB2312" w:cs="Nimbus Roman No9 L"/>
          <w:sz w:val="32"/>
          <w:szCs w:val="32"/>
          <w:highlight w:val="none"/>
          <w:lang w:val="en" w:eastAsia="zh-CN"/>
        </w:rPr>
        <w:t>高企</w:t>
      </w:r>
      <w:r>
        <w:rPr>
          <w:rFonts w:hint="default" w:ascii="Nimbus Roman No9 L" w:hAnsi="Nimbus Roman No9 L" w:eastAsia="仿宋_GB2312" w:cs="Nimbus Roman No9 L"/>
          <w:sz w:val="32"/>
          <w:szCs w:val="32"/>
          <w:highlight w:val="none"/>
          <w:lang w:val="en-US" w:eastAsia="zh-CN"/>
        </w:rPr>
        <w:t>资格期满当年内通过重新认定的，给予20万元的支持，以上支持资金，市、区各承担50%；</w:t>
      </w:r>
      <w:r>
        <w:rPr>
          <w:rFonts w:hint="default" w:ascii="Nimbus Roman No9 L" w:hAnsi="Nimbus Roman No9 L" w:eastAsia="仿宋_GB2312" w:cs="Nimbus Roman No9 L"/>
          <w:snapToGrid w:val="0"/>
          <w:kern w:val="0"/>
          <w:sz w:val="32"/>
          <w:szCs w:val="32"/>
          <w:highlight w:val="none"/>
        </w:rPr>
        <w:t>对年服务本市企业申报国家</w:t>
      </w:r>
      <w:r>
        <w:rPr>
          <w:rFonts w:hint="default" w:ascii="Nimbus Roman No9 L" w:hAnsi="Nimbus Roman No9 L" w:eastAsia="仿宋_GB2312" w:cs="Nimbus Roman No9 L"/>
          <w:snapToGrid w:val="0"/>
          <w:kern w:val="0"/>
          <w:sz w:val="32"/>
          <w:szCs w:val="32"/>
          <w:highlight w:val="none"/>
          <w:lang w:val="en"/>
        </w:rPr>
        <w:t>高企</w:t>
      </w:r>
      <w:r>
        <w:rPr>
          <w:rFonts w:hint="default" w:ascii="Nimbus Roman No9 L" w:hAnsi="Nimbus Roman No9 L" w:eastAsia="仿宋_GB2312" w:cs="Nimbus Roman No9 L"/>
          <w:snapToGrid w:val="0"/>
          <w:kern w:val="0"/>
          <w:sz w:val="32"/>
          <w:szCs w:val="32"/>
          <w:highlight w:val="none"/>
        </w:rPr>
        <w:t>超过60家且认定通过率超过90%的本市咨询服务机构给予奖励。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snapToGrid w:val="0"/>
          <w:kern w:val="0"/>
          <w:sz w:val="32"/>
          <w:szCs w:val="32"/>
          <w:highlight w:val="none"/>
          <w:lang w:val="en-US" w:eastAsia="zh-CN"/>
        </w:rPr>
      </w:pPr>
      <w:r>
        <w:rPr>
          <w:rFonts w:hint="default" w:ascii="Nimbus Roman No9 L" w:hAnsi="Nimbus Roman No9 L" w:eastAsia="仿宋_GB2312" w:cs="Nimbus Roman No9 L"/>
          <w:snapToGrid w:val="0"/>
          <w:kern w:val="0"/>
          <w:sz w:val="32"/>
          <w:szCs w:val="32"/>
          <w:highlight w:val="none"/>
          <w:lang w:val="en-US" w:eastAsia="zh-CN"/>
        </w:rPr>
        <w:t>2024年总体目标：对符合条件，应获奖励的高新技术企业、咨询服务机构给予奖励，壮大高新技术企业队伍，促进高新技术产业发展。202</w:t>
      </w:r>
      <w:r>
        <w:rPr>
          <w:rFonts w:hint="default" w:ascii="Nimbus Roman No9 L" w:hAnsi="Nimbus Roman No9 L" w:eastAsia="仿宋_GB2312" w:cs="Nimbus Roman No9 L"/>
          <w:snapToGrid w:val="0"/>
          <w:color w:val="auto"/>
          <w:kern w:val="0"/>
          <w:sz w:val="32"/>
          <w:szCs w:val="32"/>
          <w:highlight w:val="none"/>
          <w:lang w:val="en-US" w:eastAsia="zh-CN"/>
        </w:rPr>
        <w:t>4</w:t>
      </w:r>
      <w:r>
        <w:rPr>
          <w:rFonts w:hint="default" w:ascii="Nimbus Roman No9 L" w:hAnsi="Nimbus Roman No9 L" w:eastAsia="仿宋_GB2312" w:cs="Nimbus Roman No9 L"/>
          <w:snapToGrid w:val="0"/>
          <w:kern w:val="0"/>
          <w:sz w:val="32"/>
          <w:szCs w:val="32"/>
          <w:highlight w:val="none"/>
          <w:lang w:val="en-US" w:eastAsia="zh-CN"/>
        </w:rPr>
        <w:t>中央转移支付资金对符合条件的4042家高新技术企业、6家咨询服务机构给予奖励。</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3.项目资金安排及使用管理情况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（1）资金安排及到位情况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cs="Nimbus Roman No9 L"/>
          <w:snapToGrid w:val="0"/>
          <w:kern w:val="0"/>
          <w:sz w:val="32"/>
          <w:szCs w:val="32"/>
          <w:highlight w:val="none"/>
          <w:lang w:val="en-US" w:eastAsia="zh-CN"/>
        </w:rPr>
      </w:pPr>
      <w:r>
        <w:rPr>
          <w:rFonts w:hint="default" w:ascii="Nimbus Roman No9 L" w:hAnsi="Nimbus Roman No9 L" w:cs="Nimbus Roman No9 L"/>
          <w:snapToGrid w:val="0"/>
          <w:kern w:val="0"/>
          <w:sz w:val="32"/>
          <w:szCs w:val="32"/>
          <w:highlight w:val="none"/>
          <w:lang w:val="en-US" w:eastAsia="zh-CN"/>
        </w:rPr>
        <w:t>2024年通过市对区转移支付预算下达各区高新技术企业奖励资金37761.9万元。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（2）资金使用情况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cs="Nimbus Roman No9 L"/>
          <w:snapToGrid w:val="0"/>
          <w:kern w:val="0"/>
          <w:sz w:val="32"/>
          <w:szCs w:val="32"/>
          <w:highlight w:val="none"/>
          <w:lang w:val="en-US" w:eastAsia="zh-CN"/>
        </w:rPr>
      </w:pPr>
      <w:r>
        <w:rPr>
          <w:rFonts w:hint="default" w:ascii="Nimbus Roman No9 L" w:hAnsi="Nimbus Roman No9 L" w:cs="Nimbus Roman No9 L"/>
          <w:snapToGrid w:val="0"/>
          <w:kern w:val="0"/>
          <w:sz w:val="32"/>
          <w:szCs w:val="32"/>
          <w:highlight w:val="none"/>
          <w:lang w:val="en-US" w:eastAsia="zh-CN"/>
        </w:rPr>
        <w:t>截至2024年12月，各区已支出28260.5万元，预算执行率为74.84%。</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二、项目全过程绩效管理情况。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（一）项目绩效目标编制、审核及修订情况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napToGrid w:val="0"/>
          <w:kern w:val="0"/>
          <w:sz w:val="32"/>
          <w:szCs w:val="32"/>
          <w:highlight w:val="none"/>
          <w:lang w:val="en-US" w:eastAsia="zh-CN"/>
        </w:rPr>
      </w:pPr>
      <w:r>
        <w:rPr>
          <w:rFonts w:hint="default" w:ascii="Nimbus Roman No9 L" w:hAnsi="Nimbus Roman No9 L" w:eastAsia="仿宋_GB2312" w:cs="Nimbus Roman No9 L"/>
          <w:snapToGrid w:val="0"/>
          <w:kern w:val="0"/>
          <w:sz w:val="32"/>
          <w:szCs w:val="32"/>
          <w:highlight w:val="none"/>
          <w:lang w:val="en-US" w:eastAsia="zh-CN"/>
        </w:rPr>
        <w:t>总体目标：对符合条件，应获奖励的高新技术企业、咨询服务机构给予奖励，壮大高新技术企业队伍，促进高新技术产业发展。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1.</w:t>
      </w:r>
      <w:r>
        <w:rPr>
          <w:rFonts w:hint="default" w:ascii="Nimbus Roman No9 L" w:hAnsi="Nimbus Roman No9 L" w:eastAsia="仿宋_GB2312" w:cs="Nimbus Roman No9 L"/>
          <w:sz w:val="32"/>
          <w:szCs w:val="32"/>
          <w:lang w:val="en-US" w:eastAsia="zh-CN"/>
        </w:rPr>
        <w:t xml:space="preserve"> </w:t>
      </w:r>
      <w:r>
        <w:rPr>
          <w:rFonts w:hint="default" w:ascii="Nimbus Roman No9 L" w:hAnsi="Nimbus Roman No9 L" w:eastAsia="仿宋_GB2312" w:cs="Nimbus Roman No9 L"/>
          <w:sz w:val="32"/>
          <w:szCs w:val="32"/>
        </w:rPr>
        <w:t>数量指标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2022年认定高企数量</w:t>
      </w:r>
      <w:r>
        <w:rPr>
          <w:rFonts w:hint="default" w:ascii="Nimbus Roman No9 L" w:hAnsi="Nimbus Roman No9 L" w:eastAsia="仿宋_GB2312" w:cs="Nimbus Roman No9 L"/>
          <w:sz w:val="32"/>
          <w:szCs w:val="32"/>
          <w:lang w:eastAsia="zh-CN"/>
        </w:rPr>
        <w:tab/>
      </w:r>
      <w:r>
        <w:rPr>
          <w:rFonts w:hint="default" w:ascii="Nimbus Roman No9 L" w:hAnsi="Nimbus Roman No9 L" w:eastAsia="仿宋_GB2312" w:cs="Nimbus Roman No9 L"/>
          <w:sz w:val="32"/>
          <w:szCs w:val="32"/>
          <w:lang w:eastAsia="zh-CN"/>
        </w:rPr>
        <w:t>≥4039户</w:t>
      </w:r>
      <w:r>
        <w:rPr>
          <w:rFonts w:hint="default" w:ascii="Nimbus Roman No9 L" w:hAnsi="Nimbus Roman No9 L" w:eastAsia="仿宋_GB2312" w:cs="Nimbus Roman No9 L"/>
          <w:sz w:val="32"/>
          <w:szCs w:val="32"/>
          <w:lang w:val="en-US" w:eastAsia="zh-CN"/>
        </w:rPr>
        <w:t>。符合奖励条件的咨询服务机构数量</w:t>
      </w:r>
      <w:r>
        <w:rPr>
          <w:rFonts w:hint="default" w:ascii="Nimbus Roman No9 L" w:hAnsi="Nimbus Roman No9 L" w:eastAsia="仿宋_GB2312" w:cs="Nimbus Roman No9 L"/>
          <w:sz w:val="32"/>
          <w:szCs w:val="32"/>
          <w:lang w:val="en-US" w:eastAsia="zh-CN"/>
        </w:rPr>
        <w:tab/>
      </w:r>
      <w:r>
        <w:rPr>
          <w:rFonts w:hint="default" w:ascii="Nimbus Roman No9 L" w:hAnsi="Nimbus Roman No9 L" w:eastAsia="仿宋_GB2312" w:cs="Nimbus Roman No9 L"/>
          <w:sz w:val="32"/>
          <w:szCs w:val="32"/>
          <w:lang w:val="en-US" w:eastAsia="zh-CN"/>
        </w:rPr>
        <w:t>≥6户。每户咨询服务机构服务高企数量</w:t>
      </w:r>
      <w:r>
        <w:rPr>
          <w:rFonts w:hint="default" w:ascii="Nimbus Roman No9 L" w:hAnsi="Nimbus Roman No9 L" w:eastAsia="仿宋_GB2312" w:cs="Nimbus Roman No9 L"/>
          <w:sz w:val="32"/>
          <w:szCs w:val="32"/>
          <w:lang w:val="en-US" w:eastAsia="zh-CN"/>
        </w:rPr>
        <w:tab/>
      </w:r>
      <w:r>
        <w:rPr>
          <w:rFonts w:hint="default" w:ascii="Nimbus Roman No9 L" w:hAnsi="Nimbus Roman No9 L" w:eastAsia="仿宋_GB2312" w:cs="Nimbus Roman No9 L"/>
          <w:sz w:val="32"/>
          <w:szCs w:val="32"/>
          <w:lang w:val="en-US" w:eastAsia="zh-CN"/>
        </w:rPr>
        <w:t>≥60户</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企业高新技术产品收入占总收入比例</w:t>
      </w:r>
      <w:r>
        <w:rPr>
          <w:rFonts w:hint="default" w:ascii="Nimbus Roman No9 L" w:hAnsi="Nimbus Roman No9 L" w:eastAsia="仿宋_GB2312" w:cs="Nimbus Roman No9 L"/>
          <w:sz w:val="32"/>
          <w:szCs w:val="32"/>
          <w:lang w:eastAsia="zh-CN"/>
        </w:rPr>
        <w:tab/>
      </w:r>
      <w:r>
        <w:rPr>
          <w:rFonts w:hint="default" w:ascii="Nimbus Roman No9 L" w:hAnsi="Nimbus Roman No9 L" w:eastAsia="仿宋_GB2312" w:cs="Nimbus Roman No9 L"/>
          <w:sz w:val="32"/>
          <w:szCs w:val="32"/>
          <w:lang w:eastAsia="zh-CN"/>
        </w:rPr>
        <w:t>≥60%。企业科技人员占职工总数比例</w:t>
      </w:r>
      <w:r>
        <w:rPr>
          <w:rFonts w:hint="default" w:ascii="Nimbus Roman No9 L" w:hAnsi="Nimbus Roman No9 L" w:eastAsia="仿宋_GB2312" w:cs="Nimbus Roman No9 L"/>
          <w:sz w:val="32"/>
          <w:szCs w:val="32"/>
          <w:lang w:eastAsia="zh-CN"/>
        </w:rPr>
        <w:tab/>
      </w:r>
      <w:r>
        <w:rPr>
          <w:rFonts w:hint="default" w:ascii="Nimbus Roman No9 L" w:hAnsi="Nimbus Roman No9 L" w:eastAsia="仿宋_GB2312" w:cs="Nimbus Roman No9 L"/>
          <w:sz w:val="32"/>
          <w:szCs w:val="32"/>
          <w:lang w:eastAsia="zh-CN"/>
        </w:rPr>
        <w:t>≥10%。服务高企通过率≥90%。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3.时效指标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sz w:val="32"/>
          <w:szCs w:val="32"/>
          <w:lang w:val="en-US" w:eastAsia="zh-CN"/>
        </w:rPr>
        <w:t>2022年认定名单核对工作完成时限为2024年1月31日前。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4.成本指标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财政预算控制数</w:t>
      </w:r>
      <w:r>
        <w:rPr>
          <w:rFonts w:hint="default" w:ascii="Nimbus Roman No9 L" w:hAnsi="Nimbus Roman No9 L" w:eastAsia="仿宋_GB2312" w:cs="Nimbus Roman No9 L"/>
          <w:sz w:val="32"/>
          <w:szCs w:val="32"/>
          <w:lang w:eastAsia="zh-CN"/>
        </w:rPr>
        <w:tab/>
      </w:r>
      <w:r>
        <w:rPr>
          <w:rFonts w:hint="default" w:ascii="Nimbus Roman No9 L" w:hAnsi="Nimbus Roman No9 L" w:eastAsia="仿宋_GB2312" w:cs="Nimbus Roman No9 L"/>
          <w:sz w:val="32"/>
          <w:szCs w:val="32"/>
          <w:lang w:eastAsia="zh-CN"/>
        </w:rPr>
        <w:t>≤38084.4万元。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5.效益指标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sz w:val="32"/>
          <w:szCs w:val="32"/>
          <w:lang w:val="en-US" w:eastAsia="zh-CN"/>
        </w:rPr>
        <w:t>经济效益指标：引育新动能，推动国家重点支持的高新技术企业领域企业发展。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sz w:val="32"/>
          <w:szCs w:val="32"/>
          <w:lang w:val="en-US" w:eastAsia="zh-CN"/>
        </w:rPr>
        <w:t>社会效益指标：有效高企总量</w:t>
      </w:r>
      <w:r>
        <w:rPr>
          <w:rFonts w:hint="default" w:ascii="Nimbus Roman No9 L" w:hAnsi="Nimbus Roman No9 L" w:eastAsia="仿宋_GB2312" w:cs="Nimbus Roman No9 L"/>
          <w:sz w:val="32"/>
          <w:szCs w:val="32"/>
          <w:lang w:val="en-US" w:eastAsia="zh-CN"/>
        </w:rPr>
        <w:tab/>
      </w:r>
      <w:r>
        <w:rPr>
          <w:rFonts w:hint="default" w:ascii="Nimbus Roman No9 L" w:hAnsi="Nimbus Roman No9 L" w:eastAsia="仿宋_GB2312" w:cs="Nimbus Roman No9 L"/>
          <w:sz w:val="32"/>
          <w:szCs w:val="32"/>
          <w:lang w:val="en-US" w:eastAsia="zh-CN"/>
        </w:rPr>
        <w:t>≥1.1万家。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6</w:t>
      </w:r>
      <w:r>
        <w:rPr>
          <w:rFonts w:hint="default" w:ascii="Nimbus Roman No9 L" w:hAnsi="Nimbus Roman No9 L" w:eastAsia="仿宋_GB2312" w:cs="Nimbus Roman No9 L"/>
          <w:sz w:val="32"/>
          <w:szCs w:val="32"/>
        </w:rPr>
        <w:t>.服务对象满意度指标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服务对象满意度≥9</w:t>
      </w:r>
      <w:r>
        <w:rPr>
          <w:rFonts w:hint="default" w:ascii="Nimbus Roman No9 L" w:hAnsi="Nimbus Roman No9 L" w:eastAsia="仿宋_GB2312" w:cs="Nimbus Roman No9 L"/>
          <w:sz w:val="32"/>
          <w:szCs w:val="32"/>
          <w:lang w:val="en-US" w:eastAsia="zh-CN"/>
        </w:rPr>
        <w:t>5</w:t>
      </w:r>
      <w:r>
        <w:rPr>
          <w:rFonts w:hint="default" w:ascii="Nimbus Roman No9 L" w:hAnsi="Nimbus Roman No9 L" w:eastAsia="仿宋_GB2312" w:cs="Nimbus Roman No9 L"/>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（二）项目绩效运行监控情况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i/>
          <w:iCs/>
          <w:sz w:val="24"/>
          <w:szCs w:val="24"/>
        </w:rPr>
      </w:pPr>
      <w:r>
        <w:rPr>
          <w:rFonts w:hint="default" w:ascii="Nimbus Roman No9 L" w:hAnsi="Nimbus Roman No9 L" w:eastAsia="仿宋_GB2312" w:cs="Nimbus Roman No9 L"/>
          <w:sz w:val="32"/>
          <w:szCs w:val="32"/>
          <w:lang w:eastAsia="zh-CN"/>
        </w:rPr>
        <w:t>组织各区对转移支付资金开展绩效监控，对</w:t>
      </w:r>
      <w:r>
        <w:rPr>
          <w:rFonts w:hint="default" w:ascii="Nimbus Roman No9 L" w:hAnsi="Nimbus Roman No9 L" w:eastAsia="仿宋_GB2312" w:cs="Nimbus Roman No9 L"/>
          <w:b w:val="0"/>
          <w:bCs w:val="0"/>
          <w:color w:val="auto"/>
          <w:kern w:val="0"/>
          <w:sz w:val="32"/>
          <w:szCs w:val="32"/>
          <w:highlight w:val="none"/>
          <w:lang w:eastAsia="zh-CN"/>
        </w:rPr>
        <w:t>取消高企资格、自愿放弃、搬迁、注销、失联等企业通知各区提出资金收回建议，并会同相关部门及时提示各相关区科技行政部门联合区财政局按程序做好专项资金预算指标退回工作。</w:t>
      </w:r>
    </w:p>
    <w:p>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楷体_GB2312" w:cs="Nimbus Roman No9 L"/>
          <w:sz w:val="32"/>
          <w:szCs w:val="32"/>
        </w:rPr>
      </w:pPr>
      <w:r>
        <w:rPr>
          <w:rFonts w:hint="default" w:ascii="Nimbus Roman No9 L" w:hAnsi="Nimbus Roman No9 L" w:eastAsia="楷体_GB2312" w:cs="Nimbus Roman No9 L"/>
          <w:sz w:val="32"/>
          <w:szCs w:val="32"/>
        </w:rPr>
        <w:t>项目绩效自评情况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仿宋_GB2312" w:cs="Nimbus Roman No9 L"/>
          <w:snapToGrid w:val="0"/>
          <w:kern w:val="0"/>
          <w:sz w:val="32"/>
          <w:szCs w:val="32"/>
          <w:highlight w:val="none"/>
          <w:lang w:val="en-US" w:eastAsia="zh-CN"/>
        </w:rPr>
      </w:pPr>
      <w:r>
        <w:rPr>
          <w:rFonts w:hint="default" w:ascii="Nimbus Roman No9 L" w:hAnsi="Nimbus Roman No9 L" w:eastAsia="仿宋_GB2312" w:cs="Nimbus Roman No9 L"/>
          <w:snapToGrid w:val="0"/>
          <w:kern w:val="0"/>
          <w:sz w:val="32"/>
          <w:szCs w:val="32"/>
          <w:highlight w:val="none"/>
          <w:lang w:val="en-US" w:eastAsia="zh-CN"/>
        </w:rPr>
        <w:t>总体目标：对符合条件，应获奖励的高新技术企业、咨询服务机构给予奖励，壮大高新技术企业队伍，高企数量超过1.1万家，促进高新技术产业发展。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1.</w:t>
      </w:r>
      <w:r>
        <w:rPr>
          <w:rFonts w:hint="default" w:ascii="Nimbus Roman No9 L" w:hAnsi="Nimbus Roman No9 L" w:eastAsia="仿宋_GB2312" w:cs="Nimbus Roman No9 L"/>
          <w:sz w:val="32"/>
          <w:szCs w:val="32"/>
          <w:lang w:val="en-US" w:eastAsia="zh-CN"/>
        </w:rPr>
        <w:t xml:space="preserve"> </w:t>
      </w:r>
      <w:r>
        <w:rPr>
          <w:rFonts w:hint="default" w:ascii="Nimbus Roman No9 L" w:hAnsi="Nimbus Roman No9 L" w:eastAsia="仿宋_GB2312" w:cs="Nimbus Roman No9 L"/>
          <w:sz w:val="32"/>
          <w:szCs w:val="32"/>
        </w:rPr>
        <w:t>数量指标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2022年认定高企数量</w:t>
      </w:r>
      <w:r>
        <w:rPr>
          <w:rFonts w:hint="default" w:ascii="Nimbus Roman No9 L" w:hAnsi="Nimbus Roman No9 L" w:eastAsia="仿宋_GB2312" w:cs="Nimbus Roman No9 L"/>
          <w:sz w:val="32"/>
          <w:szCs w:val="32"/>
          <w:lang w:val="en-US" w:eastAsia="zh-CN"/>
        </w:rPr>
        <w:t>4042</w:t>
      </w:r>
      <w:r>
        <w:rPr>
          <w:rFonts w:hint="default" w:ascii="Nimbus Roman No9 L" w:hAnsi="Nimbus Roman No9 L" w:eastAsia="仿宋_GB2312" w:cs="Nimbus Roman No9 L"/>
          <w:sz w:val="32"/>
          <w:szCs w:val="32"/>
          <w:lang w:eastAsia="zh-CN"/>
        </w:rPr>
        <w:t>户</w:t>
      </w:r>
      <w:r>
        <w:rPr>
          <w:rFonts w:hint="default" w:ascii="Nimbus Roman No9 L" w:hAnsi="Nimbus Roman No9 L" w:eastAsia="仿宋_GB2312" w:cs="Nimbus Roman No9 L"/>
          <w:sz w:val="32"/>
          <w:szCs w:val="32"/>
          <w:lang w:val="en-US" w:eastAsia="zh-CN"/>
        </w:rPr>
        <w:t>。符合奖励条件的咨询服务机构数量</w:t>
      </w:r>
      <w:r>
        <w:rPr>
          <w:rFonts w:hint="default" w:ascii="Nimbus Roman No9 L" w:hAnsi="Nimbus Roman No9 L" w:eastAsia="仿宋_GB2312" w:cs="Nimbus Roman No9 L"/>
          <w:sz w:val="32"/>
          <w:szCs w:val="32"/>
          <w:lang w:val="en-US" w:eastAsia="zh-CN"/>
        </w:rPr>
        <w:tab/>
      </w:r>
      <w:r>
        <w:rPr>
          <w:rFonts w:hint="default" w:ascii="Nimbus Roman No9 L" w:hAnsi="Nimbus Roman No9 L" w:eastAsia="仿宋_GB2312" w:cs="Nimbus Roman No9 L"/>
          <w:sz w:val="32"/>
          <w:szCs w:val="32"/>
          <w:lang w:val="en-US" w:eastAsia="zh-CN"/>
        </w:rPr>
        <w:t>6户。每户咨询服务机构服务高企数量</w:t>
      </w:r>
      <w:r>
        <w:rPr>
          <w:rFonts w:hint="default" w:ascii="Nimbus Roman No9 L" w:hAnsi="Nimbus Roman No9 L" w:eastAsia="仿宋_GB2312" w:cs="Nimbus Roman No9 L"/>
          <w:sz w:val="32"/>
          <w:szCs w:val="32"/>
          <w:lang w:val="en-US" w:eastAsia="zh-CN"/>
        </w:rPr>
        <w:tab/>
      </w:r>
      <w:r>
        <w:rPr>
          <w:rFonts w:hint="default" w:ascii="Nimbus Roman No9 L" w:hAnsi="Nimbus Roman No9 L" w:eastAsia="仿宋_GB2312" w:cs="Nimbus Roman No9 L"/>
          <w:sz w:val="32"/>
          <w:szCs w:val="32"/>
          <w:lang w:val="en-US" w:eastAsia="zh-CN"/>
        </w:rPr>
        <w:t>≥60户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2.</w:t>
      </w:r>
      <w:r>
        <w:rPr>
          <w:rFonts w:hint="default" w:ascii="Nimbus Roman No9 L" w:hAnsi="Nimbus Roman No9 L" w:eastAsia="仿宋_GB2312" w:cs="Nimbus Roman No9 L"/>
          <w:sz w:val="32"/>
          <w:szCs w:val="32"/>
        </w:rPr>
        <w:t>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企业高新技术产品收入占总收入比例</w:t>
      </w:r>
      <w:r>
        <w:rPr>
          <w:rFonts w:hint="default" w:ascii="Nimbus Roman No9 L" w:hAnsi="Nimbus Roman No9 L" w:eastAsia="仿宋_GB2312" w:cs="Nimbus Roman No9 L"/>
          <w:sz w:val="32"/>
          <w:szCs w:val="32"/>
          <w:lang w:eastAsia="zh-CN"/>
        </w:rPr>
        <w:tab/>
      </w:r>
      <w:r>
        <w:rPr>
          <w:rFonts w:hint="default" w:ascii="Nimbus Roman No9 L" w:hAnsi="Nimbus Roman No9 L" w:eastAsia="仿宋_GB2312" w:cs="Nimbus Roman No9 L"/>
          <w:sz w:val="32"/>
          <w:szCs w:val="32"/>
          <w:lang w:eastAsia="zh-CN"/>
        </w:rPr>
        <w:t>≥60%。企业科技人员占职工总数比例</w:t>
      </w:r>
      <w:r>
        <w:rPr>
          <w:rFonts w:hint="default" w:ascii="Nimbus Roman No9 L" w:hAnsi="Nimbus Roman No9 L" w:eastAsia="仿宋_GB2312" w:cs="Nimbus Roman No9 L"/>
          <w:sz w:val="32"/>
          <w:szCs w:val="32"/>
          <w:lang w:eastAsia="zh-CN"/>
        </w:rPr>
        <w:tab/>
      </w:r>
      <w:r>
        <w:rPr>
          <w:rFonts w:hint="default" w:ascii="Nimbus Roman No9 L" w:hAnsi="Nimbus Roman No9 L" w:eastAsia="仿宋_GB2312" w:cs="Nimbus Roman No9 L"/>
          <w:sz w:val="32"/>
          <w:szCs w:val="32"/>
          <w:lang w:eastAsia="zh-CN"/>
        </w:rPr>
        <w:t>≥10%。服务高企通过率≥90%。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3.时效指标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sz w:val="32"/>
          <w:szCs w:val="32"/>
          <w:lang w:val="en-US" w:eastAsia="zh-CN"/>
        </w:rPr>
        <w:t>2022年认定名单核对工作于2024年1月31日前完成。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4.成本指标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财政预算控制数38084.4万元。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5.效益指标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sz w:val="32"/>
          <w:szCs w:val="32"/>
          <w:lang w:val="en-US" w:eastAsia="zh-CN"/>
        </w:rPr>
        <w:t>经济效益指标：引育新动能，推动国家重点支持的高新技术企业领域企业发展。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lang w:val="en-US" w:eastAsia="zh-CN"/>
        </w:rPr>
      </w:pPr>
      <w:r>
        <w:rPr>
          <w:rFonts w:hint="default" w:ascii="Nimbus Roman No9 L" w:hAnsi="Nimbus Roman No9 L" w:eastAsia="仿宋_GB2312" w:cs="Nimbus Roman No9 L"/>
          <w:sz w:val="32"/>
          <w:szCs w:val="32"/>
          <w:lang w:val="en-US" w:eastAsia="zh-CN"/>
        </w:rPr>
        <w:t>社会效益指标：有效高企总量</w:t>
      </w:r>
      <w:r>
        <w:rPr>
          <w:rFonts w:hint="default" w:ascii="Nimbus Roman No9 L" w:hAnsi="Nimbus Roman No9 L" w:eastAsia="仿宋_GB2312" w:cs="Nimbus Roman No9 L"/>
          <w:sz w:val="32"/>
          <w:szCs w:val="32"/>
          <w:lang w:val="en-US" w:eastAsia="zh-CN"/>
        </w:rPr>
        <w:tab/>
      </w:r>
      <w:r>
        <w:rPr>
          <w:rFonts w:hint="default" w:ascii="Nimbus Roman No9 L" w:hAnsi="Nimbus Roman No9 L" w:eastAsia="仿宋_GB2312" w:cs="Nimbus Roman No9 L"/>
          <w:sz w:val="32"/>
          <w:szCs w:val="32"/>
          <w:lang w:val="en-US" w:eastAsia="zh-CN"/>
        </w:rPr>
        <w:t>≥1.1万家。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lang w:val="en-US" w:eastAsia="zh-CN"/>
        </w:rPr>
        <w:t>6</w:t>
      </w:r>
      <w:r>
        <w:rPr>
          <w:rFonts w:hint="default" w:ascii="Nimbus Roman No9 L" w:hAnsi="Nimbus Roman No9 L" w:eastAsia="仿宋_GB2312" w:cs="Nimbus Roman No9 L"/>
          <w:sz w:val="32"/>
          <w:szCs w:val="32"/>
        </w:rPr>
        <w:t>.服务对象满意度指标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sz w:val="32"/>
          <w:szCs w:val="32"/>
        </w:rPr>
      </w:pPr>
      <w:r>
        <w:rPr>
          <w:rFonts w:hint="default" w:ascii="Nimbus Roman No9 L" w:hAnsi="Nimbus Roman No9 L" w:eastAsia="仿宋_GB2312" w:cs="Nimbus Roman No9 L"/>
          <w:sz w:val="32"/>
          <w:szCs w:val="32"/>
        </w:rPr>
        <w:t>落实企业</w:t>
      </w:r>
      <w:r>
        <w:rPr>
          <w:rFonts w:hint="default" w:ascii="Nimbus Roman No9 L" w:hAnsi="Nimbus Roman No9 L" w:eastAsia="仿宋_GB2312" w:cs="Nimbus Roman No9 L"/>
          <w:sz w:val="32"/>
          <w:szCs w:val="32"/>
          <w:lang w:eastAsia="zh-CN"/>
        </w:rPr>
        <w:t>高企奖励资金政策</w:t>
      </w:r>
      <w:r>
        <w:rPr>
          <w:rFonts w:hint="default" w:ascii="Nimbus Roman No9 L" w:hAnsi="Nimbus Roman No9 L" w:eastAsia="仿宋_GB2312" w:cs="Nimbus Roman No9 L"/>
          <w:sz w:val="32"/>
          <w:szCs w:val="32"/>
        </w:rPr>
        <w:t>，</w:t>
      </w:r>
      <w:r>
        <w:rPr>
          <w:rFonts w:hint="default" w:ascii="Nimbus Roman No9 L" w:hAnsi="Nimbus Roman No9 L" w:eastAsia="仿宋_GB2312" w:cs="Nimbus Roman No9 L"/>
          <w:sz w:val="32"/>
          <w:szCs w:val="32"/>
          <w:lang w:eastAsia="zh-CN"/>
        </w:rPr>
        <w:t>对首次认定、重新认定、整体迁入的高企给与奖励资金支持</w:t>
      </w:r>
      <w:r>
        <w:rPr>
          <w:rFonts w:hint="default" w:ascii="Nimbus Roman No9 L" w:hAnsi="Nimbus Roman No9 L" w:eastAsia="仿宋_GB2312" w:cs="Nimbus Roman No9 L"/>
          <w:sz w:val="32"/>
          <w:szCs w:val="32"/>
        </w:rPr>
        <w:t>，广泛开展政策宣讲和培训，</w:t>
      </w:r>
      <w:r>
        <w:rPr>
          <w:rFonts w:hint="default" w:ascii="Nimbus Roman No9 L" w:hAnsi="Nimbus Roman No9 L" w:eastAsia="仿宋_GB2312" w:cs="Nimbus Roman No9 L"/>
          <w:sz w:val="32"/>
          <w:szCs w:val="32"/>
          <w:lang w:eastAsia="zh-CN"/>
        </w:rPr>
        <w:t>落实好首问负责制，优化</w:t>
      </w:r>
      <w:r>
        <w:rPr>
          <w:rFonts w:hint="default" w:ascii="Nimbus Roman No9 L" w:hAnsi="Nimbus Roman No9 L" w:eastAsia="仿宋_GB2312" w:cs="Nimbus Roman No9 L"/>
          <w:sz w:val="32"/>
          <w:szCs w:val="32"/>
        </w:rPr>
        <w:t>申报材料</w:t>
      </w:r>
      <w:r>
        <w:rPr>
          <w:rFonts w:hint="default" w:ascii="Nimbus Roman No9 L" w:hAnsi="Nimbus Roman No9 L" w:eastAsia="仿宋_GB2312" w:cs="Nimbus Roman No9 L"/>
          <w:sz w:val="32"/>
          <w:szCs w:val="32"/>
          <w:lang w:eastAsia="zh-CN"/>
        </w:rPr>
        <w:t>模板</w:t>
      </w:r>
      <w:r>
        <w:rPr>
          <w:rFonts w:hint="default" w:ascii="Nimbus Roman No9 L" w:hAnsi="Nimbus Roman No9 L" w:eastAsia="仿宋_GB2312" w:cs="Nimbus Roman No9 L"/>
          <w:sz w:val="32"/>
          <w:szCs w:val="32"/>
        </w:rPr>
        <w:t>，服务对象满意度≥9</w:t>
      </w:r>
      <w:r>
        <w:rPr>
          <w:rFonts w:hint="default" w:ascii="Nimbus Roman No9 L" w:hAnsi="Nimbus Roman No9 L" w:eastAsia="仿宋_GB2312" w:cs="Nimbus Roman No9 L"/>
          <w:sz w:val="32"/>
          <w:szCs w:val="32"/>
          <w:lang w:val="en-US" w:eastAsia="zh-CN"/>
        </w:rPr>
        <w:t>5</w:t>
      </w:r>
      <w:r>
        <w:rPr>
          <w:rFonts w:hint="default" w:ascii="Nimbus Roman No9 L" w:hAnsi="Nimbus Roman No9 L" w:eastAsia="仿宋_GB2312" w:cs="Nimbus Roman No9 L"/>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三、项目可推广经验及关键绩效情况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仿宋_GB2312" w:cs="Nimbus Roman No9 L"/>
          <w:sz w:val="32"/>
          <w:szCs w:val="32"/>
        </w:rPr>
        <w:t>202</w:t>
      </w:r>
      <w:r>
        <w:rPr>
          <w:rFonts w:hint="default" w:ascii="Nimbus Roman No9 L" w:hAnsi="Nimbus Roman No9 L" w:eastAsia="仿宋_GB2312" w:cs="Nimbus Roman No9 L"/>
          <w:sz w:val="32"/>
          <w:szCs w:val="32"/>
          <w:lang w:val="en-US" w:eastAsia="zh-CN"/>
        </w:rPr>
        <w:t>3</w:t>
      </w:r>
      <w:r>
        <w:rPr>
          <w:rFonts w:hint="default" w:ascii="Nimbus Roman No9 L" w:hAnsi="Nimbus Roman No9 L" w:eastAsia="仿宋_GB2312" w:cs="Nimbus Roman No9 L"/>
          <w:sz w:val="32"/>
          <w:szCs w:val="32"/>
        </w:rPr>
        <w:t>年，我市认定（含新认定和重新认定）高新技术企业超过</w:t>
      </w:r>
      <w:r>
        <w:rPr>
          <w:rFonts w:hint="default" w:ascii="Nimbus Roman No9 L" w:hAnsi="Nimbus Roman No9 L" w:eastAsia="仿宋_GB2312" w:cs="Nimbus Roman No9 L"/>
          <w:sz w:val="32"/>
          <w:szCs w:val="32"/>
          <w:lang w:val="en-US" w:eastAsia="zh-CN"/>
        </w:rPr>
        <w:t>4200</w:t>
      </w:r>
      <w:r>
        <w:rPr>
          <w:rFonts w:hint="default" w:ascii="Nimbus Roman No9 L" w:hAnsi="Nimbus Roman No9 L" w:eastAsia="仿宋_GB2312" w:cs="Nimbus Roman No9 L"/>
          <w:sz w:val="32"/>
          <w:szCs w:val="32"/>
        </w:rPr>
        <w:t>家，有效期内高新技术企业</w:t>
      </w:r>
      <w:r>
        <w:rPr>
          <w:rFonts w:hint="default" w:ascii="Nimbus Roman No9 L" w:hAnsi="Nimbus Roman No9 L" w:eastAsia="仿宋_GB2312" w:cs="Nimbus Roman No9 L"/>
          <w:sz w:val="32"/>
          <w:szCs w:val="32"/>
          <w:lang w:val="en-US" w:eastAsia="zh-CN"/>
        </w:rPr>
        <w:t>11589</w:t>
      </w:r>
      <w:r>
        <w:rPr>
          <w:rFonts w:hint="default" w:ascii="Nimbus Roman No9 L" w:hAnsi="Nimbus Roman No9 L" w:eastAsia="仿宋_GB2312" w:cs="Nimbus Roman No9 L"/>
          <w:sz w:val="32"/>
          <w:szCs w:val="32"/>
        </w:rPr>
        <w:t>家，营业收入突破1.5万亿，贡献全市超八成科技型上市企业，为加快实现科技自立自强、推动经济高质量发展提供有力支撑。</w:t>
      </w:r>
    </w:p>
    <w:p>
      <w:pPr>
        <w:keepNext w:val="0"/>
        <w:keepLines w:val="0"/>
        <w:pageBreakBefore w:val="0"/>
        <w:widowControl w:val="0"/>
        <w:numPr>
          <w:ilvl w:val="0"/>
          <w:numId w:val="3"/>
        </w:numPr>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存在的主要问题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五、改进举措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Nimbus Roman No9 L" w:hAnsi="Nimbus Roman No9 L" w:eastAsia="黑体" w:cs="Nimbus Roman No9 L"/>
          <w:sz w:val="32"/>
          <w:szCs w:val="32"/>
        </w:rPr>
      </w:pPr>
      <w:r>
        <w:rPr>
          <w:rFonts w:hint="default" w:ascii="Nimbus Roman No9 L" w:hAnsi="Nimbus Roman No9 L" w:eastAsia="黑体" w:cs="Nimbus Roman No9 L"/>
          <w:sz w:val="32"/>
          <w:szCs w:val="32"/>
        </w:rPr>
        <w:t>六、需要说明的其他问题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sz w:val="32"/>
          <w:szCs w:val="32"/>
          <w:lang w:eastAsia="zh-CN"/>
        </w:rPr>
      </w:pPr>
      <w:r>
        <w:rPr>
          <w:rFonts w:hint="default" w:ascii="Nimbus Roman No9 L" w:hAnsi="Nimbus Roman No9 L" w:eastAsia="仿宋_GB2312" w:cs="Nimbus Roman No9 L"/>
          <w:sz w:val="32"/>
          <w:szCs w:val="32"/>
          <w:lang w:eastAsia="zh-CN"/>
        </w:rPr>
        <w:t>无。</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hint="default" w:ascii="Nimbus Roman No9 L" w:hAnsi="Nimbus Roman No9 L" w:eastAsia="黑体" w:cs="Nimbus Roman No9 L"/>
          <w:sz w:val="30"/>
          <w:szCs w:val="30"/>
          <w:lang w:val="en"/>
        </w:rPr>
      </w:pPr>
      <w:r>
        <w:rPr>
          <w:rFonts w:hint="default" w:ascii="Nimbus Roman No9 L" w:hAnsi="Nimbus Roman No9 L" w:eastAsia="黑体" w:cs="Nimbus Roman No9 L"/>
          <w:sz w:val="30"/>
          <w:szCs w:val="30"/>
          <w:lang w:val="en"/>
        </w:rPr>
        <w:t>八、附件</w:t>
      </w:r>
    </w:p>
    <w:p>
      <w:pPr>
        <w:keepNext w:val="0"/>
        <w:keepLines w:val="0"/>
        <w:pageBreakBefore w:val="0"/>
        <w:widowControl w:val="0"/>
        <w:kinsoku/>
        <w:wordWrap/>
        <w:overflowPunct/>
        <w:topLinePunct w:val="0"/>
        <w:autoSpaceDE/>
        <w:autoSpaceDN/>
        <w:bidi w:val="0"/>
        <w:adjustRightInd/>
        <w:snapToGrid w:val="0"/>
        <w:spacing w:line="560" w:lineRule="exact"/>
        <w:ind w:firstLine="600" w:firstLineChars="200"/>
        <w:textAlignment w:val="auto"/>
        <w:rPr>
          <w:rFonts w:hint="default" w:ascii="Nimbus Roman No9 L" w:hAnsi="Nimbus Roman No9 L" w:cs="Nimbus Roman No9 L"/>
          <w:sz w:val="30"/>
          <w:szCs w:val="30"/>
        </w:rPr>
      </w:pPr>
      <w:r>
        <w:rPr>
          <w:rFonts w:hint="default" w:ascii="Nimbus Roman No9 L" w:hAnsi="Nimbus Roman No9 L" w:cs="Nimbus Roman No9 L"/>
          <w:sz w:val="30"/>
          <w:szCs w:val="30"/>
        </w:rPr>
        <w:t>转移支付整体绩效自评表</w:t>
      </w:r>
      <w:bookmarkStart w:id="0" w:name="_GoBack"/>
      <w:bookmarkEnd w:id="0"/>
    </w:p>
    <w:sectPr>
      <w:footerReference r:id="rId3" w:type="default"/>
      <w:pgSz w:w="11906" w:h="16838"/>
      <w:pgMar w:top="2098" w:right="1587"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Nimbus Roman No9 L">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49F29"/>
    <w:multiLevelType w:val="singleLevel"/>
    <w:tmpl w:val="BFB49F29"/>
    <w:lvl w:ilvl="0" w:tentative="0">
      <w:start w:val="2"/>
      <w:numFmt w:val="decimal"/>
      <w:suff w:val="space"/>
      <w:lvlText w:val="%1."/>
      <w:lvlJc w:val="left"/>
    </w:lvl>
  </w:abstractNum>
  <w:abstractNum w:abstractNumId="1">
    <w:nsid w:val="E7291B61"/>
    <w:multiLevelType w:val="singleLevel"/>
    <w:tmpl w:val="E7291B61"/>
    <w:lvl w:ilvl="0" w:tentative="0">
      <w:start w:val="3"/>
      <w:numFmt w:val="chineseCounting"/>
      <w:suff w:val="nothing"/>
      <w:lvlText w:val="（%1）"/>
      <w:lvlJc w:val="left"/>
      <w:rPr>
        <w:rFonts w:hint="eastAsia"/>
      </w:rPr>
    </w:lvl>
  </w:abstractNum>
  <w:abstractNum w:abstractNumId="2">
    <w:nsid w:val="FBDDD5DA"/>
    <w:multiLevelType w:val="singleLevel"/>
    <w:tmpl w:val="FBDDD5DA"/>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true"/>
  <w:bordersDoNotSurroundFooter w:val="true"/>
  <w:doNotTrackMoves/>
  <w:documentProtection w:edit="readOnly"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82"/>
    <w:rsid w:val="000101E1"/>
    <w:rsid w:val="00020084"/>
    <w:rsid w:val="000732DA"/>
    <w:rsid w:val="00075CDC"/>
    <w:rsid w:val="000B1E8F"/>
    <w:rsid w:val="00103D16"/>
    <w:rsid w:val="00164D84"/>
    <w:rsid w:val="001D628A"/>
    <w:rsid w:val="00250053"/>
    <w:rsid w:val="00287C3C"/>
    <w:rsid w:val="0039432D"/>
    <w:rsid w:val="003C6374"/>
    <w:rsid w:val="00415F7C"/>
    <w:rsid w:val="004531B5"/>
    <w:rsid w:val="00785AF7"/>
    <w:rsid w:val="007A1DC2"/>
    <w:rsid w:val="008A20F2"/>
    <w:rsid w:val="00AA2B82"/>
    <w:rsid w:val="00CC152C"/>
    <w:rsid w:val="00D63908"/>
    <w:rsid w:val="00DD09A2"/>
    <w:rsid w:val="00DD16E3"/>
    <w:rsid w:val="00ED6D53"/>
    <w:rsid w:val="00F437B4"/>
    <w:rsid w:val="00F57F82"/>
    <w:rsid w:val="00F75963"/>
    <w:rsid w:val="00FA357A"/>
    <w:rsid w:val="02C86339"/>
    <w:rsid w:val="037D0BC8"/>
    <w:rsid w:val="060C7BB2"/>
    <w:rsid w:val="0845082D"/>
    <w:rsid w:val="096A663E"/>
    <w:rsid w:val="09E965F2"/>
    <w:rsid w:val="0A87714B"/>
    <w:rsid w:val="0BCE8248"/>
    <w:rsid w:val="0FFFAAC1"/>
    <w:rsid w:val="10CE1DC4"/>
    <w:rsid w:val="11D7196B"/>
    <w:rsid w:val="139840D3"/>
    <w:rsid w:val="143E091F"/>
    <w:rsid w:val="14865FC8"/>
    <w:rsid w:val="150C2DB0"/>
    <w:rsid w:val="1A0148BB"/>
    <w:rsid w:val="1CE94882"/>
    <w:rsid w:val="1CFFA817"/>
    <w:rsid w:val="1E761F05"/>
    <w:rsid w:val="1FC7205C"/>
    <w:rsid w:val="228B3D05"/>
    <w:rsid w:val="25FE8923"/>
    <w:rsid w:val="286D5E37"/>
    <w:rsid w:val="291078F3"/>
    <w:rsid w:val="2FBF7082"/>
    <w:rsid w:val="38EF7AD8"/>
    <w:rsid w:val="3A9E278B"/>
    <w:rsid w:val="3B5E025F"/>
    <w:rsid w:val="3C5E2926"/>
    <w:rsid w:val="3DBBD6B4"/>
    <w:rsid w:val="3E1672E6"/>
    <w:rsid w:val="3EDB2092"/>
    <w:rsid w:val="3EFF9E0B"/>
    <w:rsid w:val="3FBF2D69"/>
    <w:rsid w:val="415F08D8"/>
    <w:rsid w:val="433B52D2"/>
    <w:rsid w:val="44E2230F"/>
    <w:rsid w:val="45A33B2F"/>
    <w:rsid w:val="46F9107C"/>
    <w:rsid w:val="48B51347"/>
    <w:rsid w:val="4A55216A"/>
    <w:rsid w:val="4BF54B52"/>
    <w:rsid w:val="4E1B211C"/>
    <w:rsid w:val="4EFD5BFE"/>
    <w:rsid w:val="4FE0696A"/>
    <w:rsid w:val="51FD19E1"/>
    <w:rsid w:val="52EE7CB0"/>
    <w:rsid w:val="55673508"/>
    <w:rsid w:val="57FCC004"/>
    <w:rsid w:val="59595A6F"/>
    <w:rsid w:val="599330CA"/>
    <w:rsid w:val="59D55F14"/>
    <w:rsid w:val="5B0D23FC"/>
    <w:rsid w:val="5BFB0F68"/>
    <w:rsid w:val="5DB076C2"/>
    <w:rsid w:val="5E616EC0"/>
    <w:rsid w:val="5F76F0C1"/>
    <w:rsid w:val="5FDE3D12"/>
    <w:rsid w:val="60D5009F"/>
    <w:rsid w:val="61DBDF58"/>
    <w:rsid w:val="660721C9"/>
    <w:rsid w:val="661E6C75"/>
    <w:rsid w:val="67F75FF5"/>
    <w:rsid w:val="681D4831"/>
    <w:rsid w:val="692E4B19"/>
    <w:rsid w:val="69513EF7"/>
    <w:rsid w:val="6BF3256F"/>
    <w:rsid w:val="6CE7018A"/>
    <w:rsid w:val="6E3E3F2D"/>
    <w:rsid w:val="6FCFD4BB"/>
    <w:rsid w:val="6FDF08E7"/>
    <w:rsid w:val="715B2F02"/>
    <w:rsid w:val="716D0097"/>
    <w:rsid w:val="71F5E8EA"/>
    <w:rsid w:val="74E018B8"/>
    <w:rsid w:val="76A548F2"/>
    <w:rsid w:val="7765772E"/>
    <w:rsid w:val="77867685"/>
    <w:rsid w:val="77F04540"/>
    <w:rsid w:val="781F36B6"/>
    <w:rsid w:val="790627AD"/>
    <w:rsid w:val="7ADC59FA"/>
    <w:rsid w:val="7BB71159"/>
    <w:rsid w:val="7CD836C4"/>
    <w:rsid w:val="7DBDD65E"/>
    <w:rsid w:val="7DBF21E3"/>
    <w:rsid w:val="7DDD794F"/>
    <w:rsid w:val="7F6F721B"/>
    <w:rsid w:val="7FED9F9F"/>
    <w:rsid w:val="7FFB0E12"/>
    <w:rsid w:val="9FFF3766"/>
    <w:rsid w:val="B7F7950F"/>
    <w:rsid w:val="BECF1CFC"/>
    <w:rsid w:val="CA49ADC2"/>
    <w:rsid w:val="CADDA160"/>
    <w:rsid w:val="D2BD8B47"/>
    <w:rsid w:val="D6DD4E90"/>
    <w:rsid w:val="D7CA0446"/>
    <w:rsid w:val="D7FBE5FA"/>
    <w:rsid w:val="DFDF27BD"/>
    <w:rsid w:val="DFFFC64A"/>
    <w:rsid w:val="E8E39833"/>
    <w:rsid w:val="EBCEF170"/>
    <w:rsid w:val="EF8574AB"/>
    <w:rsid w:val="F1A7643A"/>
    <w:rsid w:val="F57B6F99"/>
    <w:rsid w:val="F76F2F4C"/>
    <w:rsid w:val="F7DFB8FF"/>
    <w:rsid w:val="F8DBBE3A"/>
    <w:rsid w:val="FA7DCE76"/>
    <w:rsid w:val="FAEFC359"/>
    <w:rsid w:val="FB5ECFCA"/>
    <w:rsid w:val="FEAF114B"/>
    <w:rsid w:val="FEBF0180"/>
    <w:rsid w:val="FEDC2866"/>
    <w:rsid w:val="FEED1334"/>
    <w:rsid w:val="FF2CE618"/>
    <w:rsid w:val="FFC601BD"/>
    <w:rsid w:val="FFFF4D28"/>
    <w:rsid w:val="FFFF845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pPr>
  </w:style>
  <w:style w:type="paragraph" w:styleId="3">
    <w:name w:val="Balloon Text"/>
    <w:basedOn w:val="1"/>
    <w:link w:val="10"/>
    <w:qFormat/>
    <w:uiPriority w:val="0"/>
    <w:rPr>
      <w:sz w:val="18"/>
      <w:szCs w:val="18"/>
    </w:rPr>
  </w:style>
  <w:style w:type="paragraph" w:styleId="4">
    <w:name w:val="footer"/>
    <w:basedOn w:val="1"/>
    <w:link w:val="8"/>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basedOn w:val="7"/>
    <w:link w:val="4"/>
    <w:qFormat/>
    <w:uiPriority w:val="99"/>
    <w:rPr>
      <w:rFonts w:eastAsia="仿宋_GB2312"/>
      <w:kern w:val="2"/>
      <w:sz w:val="18"/>
      <w:szCs w:val="18"/>
    </w:rPr>
  </w:style>
  <w:style w:type="character" w:customStyle="1" w:styleId="9">
    <w:name w:val="页眉 Char"/>
    <w:basedOn w:val="7"/>
    <w:link w:val="5"/>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89</Words>
  <Characters>511</Characters>
  <Lines>4</Lines>
  <Paragraphs>1</Paragraphs>
  <TotalTime>3</TotalTime>
  <ScaleCrop>false</ScaleCrop>
  <LinksUpToDate>false</LinksUpToDate>
  <CharactersWithSpaces>599</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2011-03-08T16:16:00Z</dcterms:created>
  <dc:creator>lhn</dc:creator>
  <cp:lastModifiedBy>麻淼磊</cp:lastModifiedBy>
  <cp:lastPrinted>2023-02-27T01:52:00Z</cp:lastPrinted>
  <dcterms:modified xsi:type="dcterms:W3CDTF">2025-04-29T15:29:49Z</dcterms:modified>
  <dc:title>财政支出绩效评价报告</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