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天津实验动物中心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天津实验动物中心</w:t>
      </w:r>
      <w:r>
        <w:rPr>
          <w:rFonts w:ascii="仿宋_GB2312" w:eastAsia="仿宋_GB2312" w:hint="eastAsia"/>
          <w:sz w:val="30"/>
          <w:szCs w:val="30"/>
        </w:rPr>
        <w:t xml:space="preserve">的主要职责是：</w:t>
      </w:r>
      <w:r>
        <w:rPr>
          <w:rFonts w:ascii="仿宋_GB2312" w:eastAsia="仿宋_GB2312" w:hint="eastAsia"/>
          <w:sz w:val="30"/>
          <w:szCs w:val="30"/>
        </w:rPr>
        <w:t xml:space="preserve">负责发放转制前离退休人员离退休费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天津实验动物中心为2000年转制的科研院所</w:t>
      </w:r>
      <w:r>
        <w:rPr>
          <w:rFonts w:ascii="仿宋_GB2312" w:eastAsia="仿宋_GB2312" w:hint="eastAsia"/>
          <w:sz w:val="30"/>
          <w:szCs w:val="30"/>
        </w:rPr>
        <w:t xml:space="preserve">；纳入</w:t>
      </w:r>
      <w:r>
        <w:rPr>
          <w:rFonts w:ascii="仿宋_GB2312" w:eastAsia="仿宋_GB2312" w:hint="eastAsia"/>
          <w:sz w:val="30"/>
          <w:szCs w:val="30"/>
        </w:rPr>
        <w:t xml:space="preserve">天津实验动物中心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天津实验动物中心。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141,600.00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141,600.00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141,600.00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141,600.00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141,600.00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141,600.00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snapToGrid w:val="0"/>
              <w:jc w:val="right"/>
            </w:pPr>
            <w:r>
              <w:rPr>
                <w:rFonts w:ascii="宋体" w:eastAsia="宋体" w:hAnsi="宋体" w:cs="宋体"/>
                <w:b w:val="0"/>
                <w:i w:val="0"/>
                <w:color w:val="000000"/>
                <w:sz w:val="14"/>
              </w:rPr>
              <w:t xml:space="preserve">141,600.00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141,600.00</w:t>
            </w:r>
          </w:p>
        </w:tc>
        <w:tc>
          <w:tcPr>
            <w:tcW w:w="580" w:type="dxa"/>
            <w:tcBorders/>
            <w:vAlign w:val="center"/>
          </w:tcPr>
          <w:p>
            <w:pPr>
              <w:snapToGrid w:val="0"/>
              <w:jc w:val="right"/>
            </w:pPr>
            <w:r>
              <w:rPr>
                <w:rFonts w:ascii="宋体" w:eastAsia="宋体" w:hAnsi="宋体" w:cs="宋体"/>
                <w:b w:val="0"/>
                <w:i w:val="0"/>
                <w:color w:val="000000"/>
                <w:sz w:val="9"/>
              </w:rPr>
              <w:t xml:space="preserve">141,600.00</w:t>
            </w:r>
          </w:p>
        </w:tc>
        <w:tc>
          <w:tcPr>
            <w:tcW w:w="580" w:type="dxa"/>
            <w:tcBorders/>
            <w:vAlign w:val="center"/>
          </w:tcPr>
          <w:p>
            <w:pPr>
              <w:snapToGrid w:val="0"/>
              <w:jc w:val="right"/>
            </w:pPr>
            <w:r>
              <w:rPr>
                <w:rFonts w:ascii="宋体" w:eastAsia="宋体" w:hAnsi="宋体" w:cs="宋体"/>
                <w:b w:val="0"/>
                <w:i w:val="0"/>
                <w:color w:val="000000"/>
                <w:sz w:val="9"/>
              </w:rPr>
              <w:t xml:space="preserve">141,600.00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331905</w:t>
            </w:r>
          </w:p>
        </w:tc>
        <w:tc>
          <w:tcPr>
            <w:tcW w:w="1520" w:type="dxa"/>
            <w:tcBorders/>
            <w:vAlign w:val="center"/>
          </w:tcPr>
          <w:p>
            <w:pPr>
              <w:snapToGrid w:val="0"/>
              <w:jc w:val="center"/>
            </w:pPr>
            <w:r>
              <w:rPr>
                <w:rFonts w:ascii="宋体" w:eastAsia="宋体" w:hAnsi="宋体" w:cs="宋体"/>
                <w:b w:val="0"/>
                <w:i w:val="0"/>
                <w:color w:val="000000"/>
                <w:sz w:val="9"/>
              </w:rPr>
              <w:t xml:space="preserve">天津实验动物中心</w:t>
            </w:r>
          </w:p>
        </w:tc>
        <w:tc>
          <w:tcPr>
            <w:tcW w:w="580" w:type="dxa"/>
            <w:tcBorders/>
            <w:vAlign w:val="center"/>
          </w:tcPr>
          <w:p>
            <w:pPr>
              <w:snapToGrid w:val="0"/>
              <w:jc w:val="right"/>
            </w:pPr>
            <w:r>
              <w:rPr>
                <w:rFonts w:ascii="宋体" w:eastAsia="宋体" w:hAnsi="宋体" w:cs="宋体"/>
                <w:b w:val="0"/>
                <w:i w:val="0"/>
                <w:color w:val="000000"/>
                <w:sz w:val="9"/>
              </w:rPr>
              <w:t xml:space="preserve">141,600.00</w:t>
            </w:r>
          </w:p>
        </w:tc>
        <w:tc>
          <w:tcPr>
            <w:tcW w:w="580" w:type="dxa"/>
            <w:tcBorders/>
            <w:vAlign w:val="center"/>
          </w:tcPr>
          <w:p>
            <w:pPr>
              <w:snapToGrid w:val="0"/>
              <w:jc w:val="right"/>
            </w:pPr>
            <w:r>
              <w:rPr>
                <w:rFonts w:ascii="宋体" w:eastAsia="宋体" w:hAnsi="宋体" w:cs="宋体"/>
                <w:b w:val="0"/>
                <w:i w:val="0"/>
                <w:color w:val="000000"/>
                <w:sz w:val="9"/>
              </w:rPr>
              <w:t xml:space="preserve">141,600.00</w:t>
            </w:r>
          </w:p>
        </w:tc>
        <w:tc>
          <w:tcPr>
            <w:tcW w:w="580" w:type="dxa"/>
            <w:tcBorders/>
            <w:vAlign w:val="center"/>
          </w:tcPr>
          <w:p>
            <w:pPr>
              <w:snapToGrid w:val="0"/>
              <w:jc w:val="right"/>
            </w:pPr>
            <w:r>
              <w:rPr>
                <w:rFonts w:ascii="宋体" w:eastAsia="宋体" w:hAnsi="宋体" w:cs="宋体"/>
                <w:b w:val="0"/>
                <w:i w:val="0"/>
                <w:color w:val="000000"/>
                <w:sz w:val="9"/>
              </w:rPr>
              <w:t xml:space="preserve">141,600.00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snapToGrid w:val="0"/>
              <w:jc w:val="right"/>
            </w:pPr>
            <w:r>
              <w:rPr>
                <w:rFonts w:ascii="宋体" w:eastAsia="宋体" w:hAnsi="宋体" w:cs="宋体"/>
                <w:b w:val="0"/>
                <w:i w:val="0"/>
                <w:color w:val="000000"/>
                <w:sz w:val="15"/>
              </w:rPr>
              <w:t xml:space="preserve">141,600.00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1420" w:type="dxa"/>
            <w:tcBorders/>
            <w:vAlign w:val="center"/>
          </w:tcPr>
          <w:p>
            <w:pPr>
              <w:snapToGrid w:val="0"/>
              <w:jc w:val="right"/>
            </w:pPr>
            <w:r>
              <w:rPr>
                <w:rFonts w:ascii="宋体" w:eastAsia="宋体" w:hAnsi="宋体" w:cs="宋体"/>
                <w:b w:val="0"/>
                <w:i w:val="0"/>
                <w:color w:val="000000"/>
                <w:sz w:val="16"/>
              </w:rPr>
              <w:t xml:space="preserve">141,600.00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snapToGrid w:val="0"/>
              <w:jc w:val="right"/>
            </w:pPr>
            <w:r>
              <w:rPr>
                <w:rFonts w:ascii="宋体" w:eastAsia="宋体" w:hAnsi="宋体" w:cs="宋体"/>
                <w:b w:val="0"/>
                <w:i w:val="0"/>
                <w:color w:val="000000"/>
                <w:sz w:val="20"/>
              </w:rPr>
              <w:t xml:space="preserve">141,600.00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141,600.00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66,600.00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75,000.00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141,600.00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天津实验动物中心2024年度政府性基金预算财政拨款收入支出决算表为空表。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天津实验动物中心2024年国有资本经营预算财政拨款收入支出决算表为空表。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天津实验动物中心2024年财政拨款“三公”经费支出决算表为空表。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单位：天津实验动物中心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天津实验动物中心2024年项目支出决算表为空表。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天津实验动物中心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141,600.00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增加17,600.00元，增长14.194%</w:t>
      </w:r>
      <w:r>
        <w:rPr>
          <w:rFonts w:eastAsia="仿宋_GB2312" w:hint="eastAsia"/>
          <w:sz w:val="30"/>
          <w:szCs w:val="30"/>
        </w:rPr>
        <w:t xml:space="preserve">，主要原因是</w:t>
      </w:r>
      <w:r>
        <w:rPr>
          <w:rFonts w:eastAsia="仿宋_GB2312" w:hint="eastAsia"/>
          <w:sz w:val="30"/>
          <w:szCs w:val="30"/>
        </w:rPr>
        <w:t xml:space="preserve">转制前离休人员离休费增加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一般公共预算财政拨款收入141,600.00元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科学技术支出141,600.00元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天津实验动物中心</w:t>
      </w:r>
      <w:r>
        <w:rPr>
          <w:rFonts w:eastAsia="仿宋_GB2312" w:hint="eastAsia"/>
          <w:sz w:val="30"/>
          <w:szCs w:val="30"/>
        </w:rPr>
        <w:t xml:space="preserve">2024年度本年收入合计</w:t>
      </w:r>
      <w:r>
        <w:rPr>
          <w:rFonts w:eastAsia="仿宋_GB2312" w:hint="eastAsia"/>
          <w:sz w:val="30"/>
          <w:szCs w:val="30"/>
        </w:rPr>
        <w:t xml:space="preserve">141,600.00</w:t>
      </w:r>
      <w:r>
        <w:rPr>
          <w:rFonts w:eastAsia="仿宋_GB2312" w:hint="eastAsia"/>
          <w:sz w:val="30"/>
          <w:szCs w:val="30"/>
        </w:rPr>
        <w:t xml:space="preserve">元，与2023年度相比</w:t>
      </w:r>
      <w:r>
        <w:rPr>
          <w:rFonts w:eastAsia="仿宋_GB2312" w:hint="eastAsia"/>
          <w:sz w:val="30"/>
          <w:szCs w:val="30"/>
        </w:rPr>
        <w:t xml:space="preserve">增加17,600.00元，</w:t>
      </w:r>
      <w:r>
        <w:rPr>
          <w:rFonts w:eastAsia="仿宋_GB2312" w:hint="eastAsia"/>
          <w:sz w:val="30"/>
          <w:szCs w:val="30"/>
        </w:rPr>
        <w:t xml:space="preserve">主要原因是</w:t>
      </w:r>
      <w:r>
        <w:rPr>
          <w:rFonts w:eastAsia="仿宋_GB2312" w:hint="eastAsia"/>
          <w:sz w:val="30"/>
          <w:szCs w:val="30"/>
        </w:rPr>
        <w:t xml:space="preserve">转制前离休人员离休费增加</w:t>
      </w:r>
      <w:r>
        <w:rPr>
          <w:rFonts w:eastAsia="仿宋_GB2312" w:hint="eastAsia"/>
          <w:sz w:val="30"/>
          <w:szCs w:val="30"/>
        </w:rPr>
        <w:t xml:space="preserve">。其中：</w:t>
      </w:r>
      <w:r>
        <w:rPr>
          <w:rFonts w:eastAsia="仿宋_GB2312" w:hint="eastAsia"/>
          <w:sz w:val="30"/>
          <w:szCs w:val="30"/>
        </w:rPr>
        <w:t xml:space="preserve">一般公共预算财政拨款收入141,600.00元，占%</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天津实验动物中心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141,600.00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增加17,600.00元，</w:t>
      </w:r>
      <w:r>
        <w:rPr>
          <w:rFonts w:eastAsia="仿宋_GB2312" w:hint="eastAsia"/>
          <w:sz w:val="30"/>
          <w:szCs w:val="30"/>
        </w:rPr>
        <w:t xml:space="preserve">主要原因是</w:t>
      </w:r>
      <w:r>
        <w:rPr>
          <w:rFonts w:eastAsia="仿宋_GB2312" w:hint="eastAsia"/>
          <w:sz w:val="30"/>
          <w:szCs w:val="30"/>
        </w:rPr>
        <w:t xml:space="preserve">转制前离休人员离休费增加</w:t>
      </w:r>
      <w:r>
        <w:rPr>
          <w:rFonts w:eastAsia="仿宋_GB2312" w:hint="eastAsia"/>
          <w:sz w:val="30"/>
          <w:szCs w:val="30"/>
        </w:rPr>
        <w:t xml:space="preserve">。其中：</w:t>
      </w:r>
      <w:r>
        <w:rPr>
          <w:rFonts w:eastAsia="仿宋_GB2312" w:hint="eastAsia"/>
          <w:sz w:val="30"/>
          <w:szCs w:val="30"/>
        </w:rPr>
        <w:t xml:space="preserve">基本支出141,600.00元，占100.000%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天津实验动物中心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141,600.00</w:t>
      </w:r>
      <w:r>
        <w:rPr>
          <w:rFonts w:eastAsia="仿宋_GB2312" w:hint="eastAsia"/>
          <w:sz w:val="30"/>
          <w:szCs w:val="30"/>
        </w:rPr>
        <w:t xml:space="preserve">元。与2023年度相比，财政拨款收、支总计各</w:t>
      </w:r>
      <w:r>
        <w:rPr>
          <w:rFonts w:eastAsia="仿宋_GB2312" w:hint="eastAsia"/>
          <w:sz w:val="30"/>
          <w:szCs w:val="30"/>
        </w:rPr>
        <w:t xml:space="preserve">增加17,600.00元，增长14.194%，</w:t>
      </w:r>
      <w:r>
        <w:rPr>
          <w:rFonts w:eastAsia="仿宋_GB2312" w:hint="eastAsia"/>
          <w:sz w:val="30"/>
          <w:szCs w:val="30"/>
        </w:rPr>
        <w:t xml:space="preserve">主要原因是</w:t>
      </w:r>
      <w:r>
        <w:rPr>
          <w:rFonts w:eastAsia="仿宋_GB2312" w:hint="eastAsia"/>
          <w:sz w:val="30"/>
          <w:szCs w:val="30"/>
        </w:rPr>
        <w:t xml:space="preserve">转制前离休人员离休费增加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一般公共预算财政拨款141,600.00元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科学技术支出141,600.00元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天津实验动物中心2024年度部门决算一般公共预算财政拨款支出合计141,600.00元，占本年支出合计的100.000%。与2023年度相比，一般公共预算财政拨款支出</w:t>
      </w:r>
      <w:r>
        <w:rPr>
          <w:rFonts w:eastAsia="仿宋_GB2312" w:hint="eastAsia"/>
          <w:sz w:val="30"/>
          <w:szCs w:val="30"/>
        </w:rPr>
        <w:t xml:space="preserve">增加17,600.00元</w:t>
      </w:r>
      <w:r>
        <w:rPr>
          <w:rFonts w:eastAsia="仿宋_GB2312" w:hint="eastAsia"/>
          <w:sz w:val="30"/>
          <w:szCs w:val="30"/>
        </w:rPr>
        <w:t xml:space="preserve">，增长14.194%</w:t>
      </w:r>
      <w:r>
        <w:rPr>
          <w:rFonts w:eastAsia="仿宋_GB2312" w:hint="eastAsia"/>
          <w:sz w:val="30"/>
          <w:szCs w:val="30"/>
        </w:rPr>
        <w:t xml:space="preserve">，主要原因是转制前离休人员离休费增加。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2024年度一般公共预算财政拨款支出141,600.00元，主要用于以下方面：</w:t>
      </w:r>
      <w:r>
        <w:rPr>
          <w:rFonts w:eastAsia="仿宋_GB2312" w:hint="eastAsia"/>
          <w:sz w:val="30"/>
          <w:szCs w:val="30"/>
        </w:rPr>
        <w:t xml:space="preserve">科学技术支出（类）支出141,600.00元，占100.000%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2024年度一般公共预算财政拨款支出年初预算为120,000.00元，支出决算为141,600.00元</w:t>
      </w:r>
      <w:r>
        <w:rPr>
          <w:rFonts w:eastAsia="仿宋_GB2312" w:hint="eastAsia"/>
          <w:sz w:val="30"/>
          <w:szCs w:val="30"/>
        </w:rPr>
        <w:t xml:space="preserve">，完成年初预算的118.000%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120,000.00元，支出决算为141,600.00元，完成年初预算的118.000%，决算数大于预算数的主要原因是：执行中追加了转制前离休人员离休费支出。</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天津实验动物中心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141,600.00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增加17,600.00元，</w:t>
      </w:r>
      <w:r>
        <w:rPr>
          <w:rFonts w:eastAsia="仿宋_GB2312" w:hint="eastAsia"/>
          <w:sz w:val="30"/>
          <w:szCs w:val="30"/>
        </w:rPr>
        <w:t xml:space="preserve">主要原因是</w:t>
      </w:r>
      <w:r>
        <w:rPr>
          <w:rFonts w:eastAsia="仿宋_GB2312" w:hint="eastAsia"/>
          <w:sz w:val="30"/>
          <w:szCs w:val="30"/>
        </w:rPr>
        <w:t xml:space="preserve">转制前离休人员离休费增加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人员经费141,600.00元，主要包括</w:t>
      </w:r>
      <w:r>
        <w:rPr>
          <w:rFonts w:eastAsia="仿宋_GB2312" w:hint="eastAsia"/>
          <w:sz w:val="30"/>
          <w:szCs w:val="30"/>
        </w:rPr>
        <w:t xml:space="preserve">离休费、退休费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天津实验动物中心2024年度无政府性基金预算财政拨款收入、支出和结转结余。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天津实验动物中心2024年度无国有资本经营预算财政拨款收入、支出和结转结余。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天津实验动物中心2024年度无机关运行经费。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天津实验动物中心2024年度无政府采购支出。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天津实验动物中心2024年度无国有资产占有使用情况。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天津实验动物中心2024年度没有项目支出,无需开展绩效自评。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天津实验动物中心不属于乡、镇、街级单位,不涉及公开2024年度教育、医疗卫生、社会保障和就业、住房保障、涉农补贴等民生支出情况。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